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46" w:rsidRPr="000A5350" w:rsidRDefault="00333E46" w:rsidP="00333E46">
      <w:pPr>
        <w:jc w:val="right"/>
        <w:rPr>
          <w:rStyle w:val="apple-style-span"/>
          <w:color w:val="000000"/>
          <w:sz w:val="24"/>
          <w:szCs w:val="24"/>
          <w:shd w:val="clear" w:color="auto" w:fill="FFFFFF"/>
        </w:rPr>
      </w:pPr>
      <w:r w:rsidRPr="000A5350">
        <w:rPr>
          <w:rStyle w:val="apple-style-span"/>
          <w:color w:val="000000"/>
          <w:sz w:val="24"/>
          <w:szCs w:val="24"/>
          <w:shd w:val="clear" w:color="auto" w:fill="FFFFFF"/>
        </w:rPr>
        <w:t>Приложение 14</w:t>
      </w:r>
    </w:p>
    <w:p w:rsidR="00333E46" w:rsidRPr="000A5350" w:rsidRDefault="00333E46" w:rsidP="00333E46">
      <w:pPr>
        <w:jc w:val="right"/>
        <w:rPr>
          <w:color w:val="000000"/>
          <w:sz w:val="24"/>
          <w:szCs w:val="24"/>
          <w:shd w:val="clear" w:color="auto" w:fill="FFFFFF"/>
        </w:rPr>
      </w:pPr>
      <w:r w:rsidRPr="000A5350">
        <w:rPr>
          <w:color w:val="000000"/>
          <w:sz w:val="24"/>
          <w:szCs w:val="24"/>
          <w:shd w:val="clear" w:color="auto" w:fill="FFFFFF"/>
        </w:rPr>
        <w:t>к Тарифному соглашению</w:t>
      </w:r>
    </w:p>
    <w:p w:rsidR="00333E46" w:rsidRPr="000A5350" w:rsidRDefault="00333E46" w:rsidP="00333E46">
      <w:pPr>
        <w:jc w:val="right"/>
        <w:rPr>
          <w:color w:val="000000"/>
          <w:sz w:val="24"/>
          <w:szCs w:val="24"/>
          <w:shd w:val="clear" w:color="auto" w:fill="FFFFFF"/>
        </w:rPr>
      </w:pPr>
      <w:r w:rsidRPr="000A5350">
        <w:rPr>
          <w:color w:val="000000"/>
          <w:sz w:val="24"/>
          <w:szCs w:val="24"/>
          <w:shd w:val="clear" w:color="auto" w:fill="FFFFFF"/>
        </w:rPr>
        <w:t xml:space="preserve"> в сфере </w:t>
      </w:r>
      <w:proofErr w:type="gramStart"/>
      <w:r w:rsidRPr="000A5350">
        <w:rPr>
          <w:color w:val="000000"/>
          <w:sz w:val="24"/>
          <w:szCs w:val="24"/>
          <w:shd w:val="clear" w:color="auto" w:fill="FFFFFF"/>
        </w:rPr>
        <w:t>обязательного</w:t>
      </w:r>
      <w:proofErr w:type="gramEnd"/>
      <w:r w:rsidRPr="000A5350">
        <w:rPr>
          <w:color w:val="000000"/>
          <w:sz w:val="24"/>
          <w:szCs w:val="24"/>
          <w:shd w:val="clear" w:color="auto" w:fill="FFFFFF"/>
        </w:rPr>
        <w:t xml:space="preserve"> медицинского</w:t>
      </w:r>
    </w:p>
    <w:p w:rsidR="00333E46" w:rsidRPr="000A5350" w:rsidRDefault="00333E46" w:rsidP="00333E46">
      <w:pPr>
        <w:jc w:val="right"/>
        <w:rPr>
          <w:color w:val="000000"/>
          <w:sz w:val="24"/>
          <w:szCs w:val="24"/>
          <w:shd w:val="clear" w:color="auto" w:fill="FFFFFF"/>
        </w:rPr>
      </w:pPr>
      <w:r w:rsidRPr="000A5350">
        <w:rPr>
          <w:color w:val="000000"/>
          <w:sz w:val="24"/>
          <w:szCs w:val="24"/>
          <w:shd w:val="clear" w:color="auto" w:fill="FFFFFF"/>
        </w:rPr>
        <w:t>страхования Челябинской области</w:t>
      </w:r>
    </w:p>
    <w:p w:rsidR="00333E46" w:rsidRPr="000A5350" w:rsidRDefault="00333E46" w:rsidP="00333E46">
      <w:pPr>
        <w:jc w:val="right"/>
        <w:rPr>
          <w:color w:val="000000"/>
          <w:sz w:val="24"/>
          <w:szCs w:val="24"/>
          <w:shd w:val="clear" w:color="auto" w:fill="FFFFFF"/>
        </w:rPr>
      </w:pPr>
      <w:r w:rsidRPr="000A5350">
        <w:rPr>
          <w:color w:val="000000"/>
          <w:sz w:val="24"/>
          <w:szCs w:val="24"/>
          <w:shd w:val="clear" w:color="auto" w:fill="FFFFFF"/>
        </w:rPr>
        <w:t>от 30.12.2021 № 194-ОМС</w:t>
      </w:r>
    </w:p>
    <w:p w:rsidR="000C0A15" w:rsidRPr="000A5350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0A5350" w:rsidRDefault="00873DF8" w:rsidP="000C0A15">
      <w:pPr>
        <w:jc w:val="center"/>
        <w:rPr>
          <w:rStyle w:val="apple-style-span"/>
          <w:color w:val="000000"/>
          <w:szCs w:val="28"/>
          <w:shd w:val="clear" w:color="auto" w:fill="FFFFFF"/>
        </w:rPr>
      </w:pPr>
      <w:r w:rsidRPr="000A5350">
        <w:rPr>
          <w:rStyle w:val="apple-style-span"/>
          <w:color w:val="000000"/>
          <w:szCs w:val="28"/>
          <w:shd w:val="clear" w:color="auto" w:fill="FFFFFF"/>
        </w:rPr>
        <w:t>Показатели</w:t>
      </w:r>
      <w:r w:rsidR="000C0A15" w:rsidRPr="000A5350">
        <w:rPr>
          <w:rStyle w:val="apple-style-span"/>
          <w:color w:val="000000"/>
          <w:szCs w:val="28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0A5350">
        <w:rPr>
          <w:color w:val="000000"/>
          <w:szCs w:val="28"/>
          <w:shd w:val="clear" w:color="auto" w:fill="FFFFFF"/>
        </w:rPr>
        <w:t>прикрепленное население</w:t>
      </w:r>
    </w:p>
    <w:p w:rsidR="00873DF8" w:rsidRPr="000A5350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W w:w="14655" w:type="dxa"/>
        <w:tblInd w:w="96" w:type="dxa"/>
        <w:tblLook w:val="04A0"/>
      </w:tblPr>
      <w:tblGrid>
        <w:gridCol w:w="437"/>
        <w:gridCol w:w="3671"/>
        <w:gridCol w:w="5543"/>
        <w:gridCol w:w="1843"/>
        <w:gridCol w:w="1659"/>
        <w:gridCol w:w="1502"/>
      </w:tblGrid>
      <w:tr w:rsidR="007E301B" w:rsidRPr="000A5350" w:rsidTr="000D0097">
        <w:trPr>
          <w:trHeight w:val="510"/>
          <w:tblHeader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Порядок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Периодичность оценки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Максимальный балл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Итоговый коэффициент</w:t>
            </w:r>
          </w:p>
        </w:tc>
      </w:tr>
      <w:tr w:rsidR="006B7B5F" w:rsidRPr="000A5350" w:rsidTr="000D0097">
        <w:trPr>
          <w:trHeight w:val="450"/>
        </w:trPr>
        <w:tc>
          <w:tcPr>
            <w:tcW w:w="1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B7B5F" w:rsidRPr="000A5350" w:rsidRDefault="006B7B5F" w:rsidP="00873DF8">
            <w:pPr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7B5F" w:rsidRPr="000A5350" w:rsidRDefault="006B7B5F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B7B5F" w:rsidRPr="000A5350" w:rsidRDefault="006B7B5F" w:rsidP="006B7B5F">
            <w:pPr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</w:tc>
      </w:tr>
      <w:tr w:rsidR="006B7B5F" w:rsidRPr="000A5350" w:rsidTr="000D0097">
        <w:trPr>
          <w:trHeight w:val="46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6B7B5F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</w:p>
          <w:p w:rsidR="006B7B5F" w:rsidRPr="000A5350" w:rsidRDefault="006B7B5F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22 - 25 баллов: коэффициент 1;</w:t>
            </w:r>
            <w:r w:rsidRPr="000A5350">
              <w:rPr>
                <w:color w:val="000000"/>
                <w:sz w:val="20"/>
              </w:rPr>
              <w:br/>
            </w:r>
            <w:r w:rsidRPr="000A5350">
              <w:rPr>
                <w:color w:val="000000"/>
                <w:sz w:val="20"/>
              </w:rPr>
              <w:br/>
              <w:t xml:space="preserve"> 14 - 21 баллов: коэффициент 0,5;</w:t>
            </w:r>
            <w:r w:rsidRPr="000A5350">
              <w:rPr>
                <w:color w:val="000000"/>
                <w:sz w:val="20"/>
              </w:rPr>
              <w:br/>
            </w:r>
            <w:r w:rsidRPr="000A5350">
              <w:rPr>
                <w:color w:val="000000"/>
                <w:sz w:val="20"/>
              </w:rPr>
              <w:br/>
              <w:t>менее 14 баллов: коэффициент 0.</w:t>
            </w:r>
          </w:p>
        </w:tc>
      </w:tr>
      <w:tr w:rsidR="007E301B" w:rsidRPr="000A5350" w:rsidTr="000D0097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sz w:val="20"/>
                  </w:rPr>
                  <m:t>D</m:t>
                </m:r>
                <m:r>
                  <w:rPr>
                    <w:rFonts w:ascii="Cambria Math" w:eastAsia="Cambria Math" w:hAnsi="Cambria Math"/>
                    <w:sz w:val="20"/>
                    <w:vertAlign w:val="subscript"/>
                  </w:rPr>
                  <m:t>prof</m:t>
                </m:r>
                <m:r>
                  <w:rPr>
                    <w:rFonts w:ascii="Cambria Math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sz w:val="20"/>
                      </w:rPr>
                      <m:t>P</m:t>
                    </m:r>
                    <m:r>
                      <w:rPr>
                        <w:rFonts w:ascii="Cambria Math" w:eastAsia="Cambria Math" w:hAnsi="Cambria Math"/>
                        <w:sz w:val="20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/>
                        <w:sz w:val="20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/>
                        <w:sz w:val="20"/>
                        <w:vertAlign w:val="subscript"/>
                      </w:rPr>
                      <m:t>s</m:t>
                    </m:r>
                    <m:r>
                      <w:rPr>
                        <w:rFonts w:ascii="Cambria Math" w:eastAsia="Cambria Math"/>
                        <w:sz w:val="20"/>
                        <w:vertAlign w:val="subscript"/>
                      </w:rPr>
                      <m:t>+</m:t>
                    </m:r>
                    <m:r>
                      <w:rPr>
                        <w:rFonts w:ascii="Cambria Math" w:eastAsia="Cambria Math" w:hAnsi="Cambria Math"/>
                        <w:sz w:val="20"/>
                        <w:vertAlign w:val="subscript"/>
                        <w:lang w:val="en-US"/>
                      </w:rPr>
                      <m:t>Oz</m:t>
                    </m:r>
                    <m:r>
                      <w:rPr>
                        <w:rFonts w:eastAsia="Cambria Math" w:hAnsi="Cambria Math"/>
                        <w:sz w:val="20"/>
                        <w:vertAlign w:val="subscript"/>
                        <w:lang w:val="en-US"/>
                      </w:rPr>
                      <m:t>*</m:t>
                    </m:r>
                    <m:r>
                      <w:rPr>
                        <w:rFonts w:ascii="Cambria Math" w:eastAsia="Cambria Math" w:hAnsi="Cambria Math"/>
                        <w:sz w:val="20"/>
                        <w:vertAlign w:val="subscript"/>
                        <w:lang w:val="en-US"/>
                      </w:rPr>
                      <m:t>k</m:t>
                    </m:r>
                    <m:r>
                      <w:rPr>
                        <w:rFonts w:ascii="Cambria Math" w:eastAsia="Cambria Math"/>
                        <w:sz w:val="20"/>
                        <w:vertAlign w:val="subscript"/>
                        <w:lang w:val="en-US"/>
                      </w:rPr>
                      <m:t>)</m:t>
                    </m:r>
                  </m:den>
                </m:f>
                <m:r>
                  <w:rPr>
                    <w:sz w:val="20"/>
                  </w:rPr>
                  <m:t>×</m:t>
                </m:r>
                <m:r>
                  <w:rPr>
                    <w:rFonts w:ascii="Cambria Math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sz w:val="20"/>
              </w:rPr>
            </w:pPr>
            <w:r w:rsidRPr="000A5350">
              <w:rPr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proofErr w:type="spellStart"/>
            <w:r w:rsidRPr="000A5350">
              <w:rPr>
                <w:sz w:val="20"/>
              </w:rPr>
              <w:t>D</w:t>
            </w:r>
            <w:r w:rsidRPr="000A5350">
              <w:rPr>
                <w:sz w:val="20"/>
                <w:vertAlign w:val="subscript"/>
              </w:rPr>
              <w:t>prof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A5350">
              <w:rPr>
                <w:sz w:val="20"/>
              </w:rPr>
              <w:t>выраженное</w:t>
            </w:r>
            <w:proofErr w:type="gramEnd"/>
            <w:r w:rsidRPr="000A5350">
              <w:rPr>
                <w:sz w:val="20"/>
              </w:rPr>
              <w:t xml:space="preserve"> в процентах;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proofErr w:type="spellStart"/>
            <w:r w:rsidRPr="000A5350">
              <w:rPr>
                <w:sz w:val="20"/>
              </w:rPr>
              <w:t>P</w:t>
            </w:r>
            <w:r w:rsidRPr="000A5350">
              <w:rPr>
                <w:sz w:val="20"/>
                <w:vertAlign w:val="subscript"/>
              </w:rPr>
              <w:t>prof</w:t>
            </w:r>
            <w:proofErr w:type="spellEnd"/>
            <w:r w:rsidRPr="000A5350">
              <w:rPr>
                <w:sz w:val="20"/>
              </w:rPr>
              <w:t xml:space="preserve"> – число врачебных посещений с профилактической целью за период;</w:t>
            </w:r>
          </w:p>
          <w:p w:rsidR="007E301B" w:rsidRPr="000A5350" w:rsidRDefault="007E301B" w:rsidP="00076C53">
            <w:pPr>
              <w:jc w:val="both"/>
              <w:rPr>
                <w:sz w:val="20"/>
              </w:rPr>
            </w:pPr>
            <w:proofErr w:type="spellStart"/>
            <w:r w:rsidRPr="000A5350">
              <w:rPr>
                <w:sz w:val="20"/>
              </w:rPr>
              <w:t>P</w:t>
            </w:r>
            <w:r w:rsidRPr="000A5350">
              <w:rPr>
                <w:sz w:val="20"/>
                <w:vertAlign w:val="subscript"/>
              </w:rPr>
              <w:t>vs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</w:t>
            </w:r>
            <w:r w:rsidRPr="000A5350">
              <w:rPr>
                <w:color w:val="000000"/>
                <w:sz w:val="20"/>
              </w:rPr>
              <w:t>посещений за период (включая посещения на дому)</w:t>
            </w:r>
            <w:r w:rsidRPr="000A5350">
              <w:rPr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sz w:val="20"/>
              </w:rPr>
            </w:pPr>
            <w:r w:rsidRPr="000A5350">
              <w:rPr>
                <w:sz w:val="20"/>
              </w:rPr>
              <w:t>О</w:t>
            </w:r>
            <w:proofErr w:type="gramStart"/>
            <w:r w:rsidRPr="000A5350">
              <w:rPr>
                <w:sz w:val="20"/>
                <w:lang w:val="en-US"/>
              </w:rPr>
              <w:t>z</w:t>
            </w:r>
            <w:proofErr w:type="gramEnd"/>
            <w:r w:rsidRPr="000A5350">
              <w:rPr>
                <w:sz w:val="20"/>
              </w:rPr>
              <w:t xml:space="preserve"> – общее число обращений за отчетный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sz w:val="20"/>
                <w:lang w:val="en-US"/>
              </w:rPr>
              <w:t>k</w:t>
            </w:r>
            <w:r w:rsidRPr="000A5350">
              <w:rPr>
                <w:sz w:val="20"/>
              </w:rPr>
              <w:t xml:space="preserve"> – </w:t>
            </w:r>
            <w:proofErr w:type="gramStart"/>
            <w:r w:rsidRPr="000A5350">
              <w:rPr>
                <w:sz w:val="20"/>
              </w:rPr>
              <w:t>коэффициент</w:t>
            </w:r>
            <w:proofErr w:type="gramEnd"/>
            <w:r w:rsidRPr="000A5350">
              <w:rPr>
                <w:sz w:val="20"/>
              </w:rPr>
              <w:t xml:space="preserve"> перевода обращений в посещения.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бск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BSK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BSK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бск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>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BSK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дисп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 xml:space="preserve">взрослых пациентов с болезнями системы кровообращения, выявленными впервые при </w:t>
            </w:r>
            <w:r w:rsidRPr="000A5350">
              <w:rPr>
                <w:sz w:val="20"/>
              </w:rPr>
              <w:lastRenderedPageBreak/>
              <w:t>профилактических медицинских осмотрах и диспансеризации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sz w:val="20"/>
              </w:rPr>
              <w:t>BSK</w:t>
            </w:r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53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sz w:val="20"/>
                  </w:rPr>
                  <m:t>D</m:t>
                </m:r>
                <m:r>
                  <w:rPr>
                    <w:rFonts w:eastAsia="Cambria Math"/>
                    <w:sz w:val="20"/>
                    <w:vertAlign w:val="subscript"/>
                  </w:rPr>
                  <m:t>зно</m:t>
                </m:r>
                <m:r>
                  <w:rPr>
                    <w:rFonts w:ascii="Cambria Math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sz w:val="20"/>
                      </w:rPr>
                      <m:t>ZNO</m:t>
                    </m:r>
                    <m:r>
                      <w:rPr>
                        <w:rFonts w:eastAsia="Cambria Math"/>
                        <w:sz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/>
                        <w:sz w:val="20"/>
                      </w:rPr>
                      <m:t>ZNO</m:t>
                    </m:r>
                    <m:r>
                      <w:rPr>
                        <w:rFonts w:eastAsia="Cambria Math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sz w:val="20"/>
                  </w:rPr>
                  <m:t>×</m:t>
                </m:r>
                <m:r>
                  <w:rPr>
                    <w:rFonts w:ascii="Cambria Math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sz w:val="20"/>
              </w:rPr>
            </w:pPr>
            <w:r w:rsidRPr="000A5350">
              <w:rPr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D</w:t>
            </w:r>
            <w:proofErr w:type="gramEnd"/>
            <w:r w:rsidRPr="000A5350">
              <w:rPr>
                <w:sz w:val="20"/>
                <w:vertAlign w:val="subscript"/>
              </w:rPr>
              <w:t>зно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ZNO</w:t>
            </w:r>
            <w:proofErr w:type="gramEnd"/>
            <w:r w:rsidRPr="000A5350">
              <w:rPr>
                <w:sz w:val="20"/>
                <w:vertAlign w:val="subscript"/>
              </w:rPr>
              <w:t>дисп</w:t>
            </w:r>
            <w:proofErr w:type="spellEnd"/>
            <w:r w:rsidRPr="000A5350">
              <w:rPr>
                <w:sz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sz w:val="20"/>
              </w:rPr>
              <w:t>ZNO</w:t>
            </w:r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9E511D">
        <w:trPr>
          <w:trHeight w:val="60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4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gramStart"/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хобл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хобл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легочная болезнь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H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дисп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H</w:t>
            </w:r>
            <w:proofErr w:type="gramEnd"/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с впервые в жизни </w:t>
            </w:r>
            <w:r w:rsidRPr="000A5350">
              <w:rPr>
                <w:sz w:val="20"/>
              </w:rPr>
              <w:lastRenderedPageBreak/>
              <w:t xml:space="preserve">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легочная болезнь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сд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сд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SD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дисп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sz w:val="20"/>
              </w:rPr>
              <w:t>SD</w:t>
            </w:r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6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Выполнение плана вакцинации взрослых граждан по эпидемиологическим показаниям за период (коронавирусная инфекция COVID-19).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Vv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эпид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Fv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Pv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Vv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эпид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процент выполнения плана вакцинации </w:t>
            </w:r>
            <w:r w:rsidRPr="000A5350">
              <w:rPr>
                <w:sz w:val="20"/>
              </w:rPr>
              <w:t>взрослых граждан по эпидемиологическим показаниям за период (коронавирусная инфекция COVID-19)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Fv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эпид</w:t>
            </w:r>
            <w:proofErr w:type="spellEnd"/>
            <w:r w:rsidRPr="000A5350">
              <w:rPr>
                <w:color w:val="000000"/>
                <w:sz w:val="20"/>
              </w:rPr>
              <w:t xml:space="preserve"> – фактическое число взрослых граждан, вакцинированных от коронавирусной инфекции COVID-19 в отчетном </w:t>
            </w:r>
            <w:r w:rsidRPr="000A5350">
              <w:rPr>
                <w:sz w:val="20"/>
              </w:rPr>
              <w:t>периоде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Pv</w:t>
            </w:r>
            <w:proofErr w:type="gramEnd"/>
            <w:r w:rsidRPr="000A5350">
              <w:rPr>
                <w:sz w:val="20"/>
                <w:vertAlign w:val="subscript"/>
              </w:rPr>
              <w:t>эпид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число граждан, подлежащих вакцинации по эпидемиологическим показаниям за период (коронавирусная инфекция COVID-19).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6B7B5F" w:rsidRPr="000A5350" w:rsidTr="000D0097">
        <w:trPr>
          <w:trHeight w:val="37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7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</w:t>
            </w:r>
            <w:r w:rsidRPr="000A5350">
              <w:rPr>
                <w:color w:val="000000"/>
                <w:sz w:val="20"/>
              </w:rPr>
              <w:lastRenderedPageBreak/>
              <w:t>системы кровообращения*, имеющих высокий риск преждевременной смерти,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DN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риск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R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DN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риск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 с болезнями системы кровообращения*, имеющих высокий риск преждевременной </w:t>
            </w:r>
            <w:r w:rsidRPr="000A5350">
              <w:rPr>
                <w:sz w:val="20"/>
              </w:rPr>
              <w:lastRenderedPageBreak/>
              <w:t>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  <w:lang w:val="en-US"/>
              </w:rPr>
              <w:t>R</w:t>
            </w:r>
            <w:proofErr w:type="spellStart"/>
            <w:r w:rsidRPr="000A5350">
              <w:rPr>
                <w:color w:val="000000"/>
                <w:sz w:val="20"/>
                <w:vertAlign w:val="subscript"/>
              </w:rPr>
              <w:t>дн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 с болезнями системы кровообращения*, имеющих высокий риск преждевременной смерти, состоящих под диспансерным наблюдением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sz w:val="20"/>
                <w:lang w:val="en-US"/>
              </w:rPr>
              <w:t>R</w:t>
            </w:r>
            <w:proofErr w:type="spellStart"/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общее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53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S</m:t>
                </m:r>
                <m:r>
                  <w:rPr>
                    <w:rFonts w:eastAsia="Cambria Math"/>
                    <w:color w:val="000000"/>
                    <w:sz w:val="20"/>
                  </w:rPr>
                  <m:t>риск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V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риск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риск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S</w:t>
            </w:r>
            <w:proofErr w:type="gramEnd"/>
            <w:r w:rsidRPr="000A5350">
              <w:rPr>
                <w:color w:val="000000"/>
                <w:sz w:val="20"/>
              </w:rPr>
              <w:t>риск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число </w:t>
            </w:r>
            <w:r w:rsidRPr="000A5350">
              <w:rPr>
                <w:sz w:val="20"/>
              </w:rPr>
              <w:t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V</w:t>
            </w:r>
            <w:proofErr w:type="gramEnd"/>
            <w:r w:rsidRPr="000A5350">
              <w:rPr>
                <w:color w:val="000000"/>
                <w:sz w:val="20"/>
              </w:rPr>
              <w:t>риск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D</w:t>
            </w:r>
            <w:proofErr w:type="gramEnd"/>
            <w:r w:rsidRPr="000A5350">
              <w:rPr>
                <w:color w:val="000000"/>
                <w:sz w:val="20"/>
              </w:rPr>
              <w:t>риск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общее число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9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DN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бск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BSK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BSK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DN</w:t>
            </w:r>
            <w:r w:rsidRPr="000A5350">
              <w:rPr>
                <w:color w:val="000000"/>
                <w:sz w:val="20"/>
                <w:vertAlign w:val="subscript"/>
              </w:rPr>
              <w:t>бск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болезни системы кровообращения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BSK</w:t>
            </w:r>
            <w:proofErr w:type="gramStart"/>
            <w:r w:rsidRPr="000A5350">
              <w:rPr>
                <w:color w:val="000000"/>
                <w:sz w:val="20"/>
                <w:vertAlign w:val="subscript"/>
              </w:rPr>
              <w:t>дн</w:t>
            </w:r>
            <w:proofErr w:type="spellEnd"/>
            <w:proofErr w:type="gram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 xml:space="preserve">взрослых пациентов с болезнями системы </w:t>
            </w:r>
            <w:r w:rsidRPr="000A5350">
              <w:rPr>
                <w:sz w:val="20"/>
              </w:rPr>
              <w:lastRenderedPageBreak/>
              <w:t>кровообращения, в отношении которых установлено диспансерное наблюдение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sz w:val="20"/>
              </w:rPr>
              <w:t>BSK</w:t>
            </w:r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хроническая </w:t>
            </w:r>
            <w:proofErr w:type="spellStart"/>
            <w:r w:rsidRPr="000A5350">
              <w:rPr>
                <w:color w:val="000000"/>
                <w:sz w:val="20"/>
              </w:rPr>
              <w:t>обструктивная</w:t>
            </w:r>
            <w:proofErr w:type="spellEnd"/>
            <w:r w:rsidRPr="000A5350">
              <w:rPr>
                <w:color w:val="000000"/>
                <w:sz w:val="20"/>
              </w:rPr>
              <w:t xml:space="preserve"> болезнь легких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DN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хобл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DN</w:t>
            </w:r>
            <w:r w:rsidRPr="000A5350">
              <w:rPr>
                <w:color w:val="000000"/>
                <w:sz w:val="20"/>
                <w:vertAlign w:val="subscript"/>
              </w:rPr>
              <w:t>хобл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H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дн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 xml:space="preserve">взрослых пациентов с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H</w:t>
            </w:r>
            <w:proofErr w:type="gramEnd"/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A5350">
              <w:rPr>
                <w:sz w:val="20"/>
              </w:rPr>
              <w:t>обструктивная</w:t>
            </w:r>
            <w:proofErr w:type="spellEnd"/>
            <w:r w:rsidRPr="000A5350">
              <w:rPr>
                <w:sz w:val="20"/>
              </w:rPr>
              <w:t xml:space="preserve"> болезнь легких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DN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сд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DN</w:t>
            </w:r>
            <w:r w:rsidRPr="000A5350">
              <w:rPr>
                <w:color w:val="000000"/>
                <w:sz w:val="20"/>
                <w:vertAlign w:val="subscript"/>
              </w:rPr>
              <w:t>сд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сахарный диабет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SD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дн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sz w:val="20"/>
              </w:rPr>
              <w:t>SD</w:t>
            </w:r>
            <w:r w:rsidRPr="000A5350">
              <w:rPr>
                <w:sz w:val="20"/>
                <w:vertAlign w:val="subscript"/>
              </w:rPr>
              <w:t>вп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общее число взрослых пациентов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H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всего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O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Dn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H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всего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O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всего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Dn</w:t>
            </w:r>
            <w:proofErr w:type="gramEnd"/>
            <w:r w:rsidRPr="000A5350">
              <w:rPr>
                <w:sz w:val="20"/>
                <w:vertAlign w:val="subscript"/>
              </w:rPr>
              <w:t>всего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53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13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P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бск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PH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H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P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бск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PH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бск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H</w:t>
            </w:r>
            <w:proofErr w:type="gramEnd"/>
            <w:r w:rsidRPr="000A5350">
              <w:rPr>
                <w:sz w:val="20"/>
                <w:vertAlign w:val="subscript"/>
              </w:rPr>
              <w:t>бск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53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gramStart"/>
            <w:r w:rsidRPr="000A5350">
              <w:rPr>
                <w:color w:val="000000"/>
                <w:sz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A5350">
              <w:rPr>
                <w:color w:val="000000"/>
                <w:sz w:val="20"/>
              </w:rPr>
              <w:t>ретинопатия</w:t>
            </w:r>
            <w:proofErr w:type="spellEnd"/>
            <w:r w:rsidRPr="000A5350">
              <w:rPr>
                <w:color w:val="000000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SD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SD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gramStart"/>
            <w:r w:rsidRPr="000A5350">
              <w:rPr>
                <w:color w:val="000000"/>
                <w:sz w:val="20"/>
              </w:rPr>
              <w:t>SD</w:t>
            </w:r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доля </w:t>
            </w:r>
            <w:r w:rsidRPr="000A5350">
              <w:rPr>
                <w:sz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A5350">
              <w:rPr>
                <w:sz w:val="20"/>
              </w:rPr>
              <w:t>ретинопатия</w:t>
            </w:r>
            <w:proofErr w:type="spellEnd"/>
            <w:r w:rsidRPr="000A5350">
              <w:rPr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</w:t>
            </w:r>
            <w:r w:rsidRPr="000A5350">
              <w:rPr>
                <w:color w:val="000000"/>
                <w:sz w:val="20"/>
              </w:rPr>
              <w:t>;</w:t>
            </w:r>
            <w:proofErr w:type="gramEnd"/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Osl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 xml:space="preserve">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A5350">
              <w:rPr>
                <w:sz w:val="20"/>
              </w:rPr>
              <w:t>ретинопатия</w:t>
            </w:r>
            <w:proofErr w:type="spellEnd"/>
            <w:r w:rsidRPr="000A5350">
              <w:rPr>
                <w:sz w:val="20"/>
              </w:rPr>
              <w:t>, диабетическая стопа)</w:t>
            </w:r>
            <w:r w:rsidRPr="000A5350">
              <w:rPr>
                <w:color w:val="000000"/>
                <w:sz w:val="20"/>
              </w:rPr>
              <w:t>;</w:t>
            </w:r>
            <w:proofErr w:type="gramEnd"/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sz w:val="20"/>
              </w:rPr>
              <w:t>SD</w:t>
            </w:r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6B7B5F" w:rsidRPr="000A5350" w:rsidTr="000D0097">
        <w:trPr>
          <w:trHeight w:val="37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смертности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Dt</m:t>
                </m:r>
                <m:r>
                  <w:rPr>
                    <w:rFonts w:eastAsia="Cambria Math"/>
                    <w:color w:val="000000"/>
                    <w:sz w:val="20"/>
                  </w:rPr>
                  <m:t>h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/>
                    <w:color w:val="000000"/>
                    <w:sz w:val="20"/>
                    <w:vertAlign w:val="subscript"/>
                  </w:rPr>
                  <m:t>30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-</m:t>
                </m:r>
                <m:r>
                  <w:rPr>
                    <w:rFonts w:ascii="Cambria Math" w:eastAsia="Cambria Math"/>
                    <w:color w:val="000000"/>
                    <w:sz w:val="20"/>
                    <w:vertAlign w:val="subscript"/>
                  </w:rPr>
                  <m:t xml:space="preserve">69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 xml:space="preserve"> 30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-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>69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Nas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 xml:space="preserve"> 30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-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>69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100000</m:t>
                </m:r>
                <m:r>
                  <w:rPr>
                    <w:rFonts w:ascii="Cambria Math" w:eastAsia="Cambria Math"/>
                    <w:color w:val="000000"/>
                    <w:sz w:val="20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Dth</w:t>
            </w:r>
            <w:proofErr w:type="spellEnd"/>
            <w:r w:rsidRPr="000A5350">
              <w:rPr>
                <w:color w:val="000000"/>
                <w:sz w:val="20"/>
              </w:rPr>
              <w:t xml:space="preserve"> 30-69 – смертность прикрепленного населения в возрасте от 30 до 69 лет </w:t>
            </w:r>
            <w:r w:rsidRPr="000A5350">
              <w:rPr>
                <w:sz w:val="20"/>
              </w:rPr>
              <w:t>за период</w:t>
            </w:r>
            <w:r w:rsidRPr="000A5350">
              <w:rPr>
                <w:color w:val="000000"/>
                <w:sz w:val="20"/>
              </w:rPr>
              <w:t xml:space="preserve"> в медицинских организациях, имеющих прикрепленное население;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D 30-69 – число умерших в возрасте от 30 до 69 лет среди прикрепленного населения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Nas</w:t>
            </w:r>
            <w:proofErr w:type="spellEnd"/>
            <w:r w:rsidRPr="000A5350">
              <w:rPr>
                <w:color w:val="000000"/>
                <w:sz w:val="20"/>
              </w:rPr>
              <w:t xml:space="preserve"> 30-69 – численность прикрепленного населения в возрасте от 30 до 69 лет </w:t>
            </w:r>
            <w:r w:rsidRPr="000A5350">
              <w:rPr>
                <w:sz w:val="20"/>
              </w:rPr>
              <w:t>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9E511D">
        <w:trPr>
          <w:trHeight w:val="74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16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L</m:t>
                </m:r>
                <m:r>
                  <w:rPr>
                    <w:rFonts w:ascii="Cambria Math" w:eastAsia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DN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</m:t>
                </m:r>
                <m:r>
                  <w:rPr>
                    <w:rFonts w:ascii="Cambria Math" w:eastAsia="Cambria Math"/>
                    <w:color w:val="000000"/>
                    <w:sz w:val="20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L – число умерших </w:t>
            </w:r>
            <w:r w:rsidRPr="000A5350">
              <w:rPr>
                <w:sz w:val="20"/>
              </w:rPr>
              <w:t>за период, находящихся под диспансерным наблюдением, от общего числа взрослых пациентов, находящихся под диспансерным наблюдением;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 D – число </w:t>
            </w:r>
            <w:proofErr w:type="gramStart"/>
            <w:r w:rsidRPr="000A5350">
              <w:rPr>
                <w:color w:val="000000"/>
                <w:sz w:val="20"/>
              </w:rPr>
              <w:t>умерших</w:t>
            </w:r>
            <w:proofErr w:type="gramEnd"/>
            <w:r w:rsidRPr="000A5350">
              <w:rPr>
                <w:color w:val="000000"/>
                <w:sz w:val="20"/>
              </w:rPr>
              <w:t xml:space="preserve"> </w:t>
            </w:r>
            <w:r w:rsidRPr="000A5350">
              <w:rPr>
                <w:sz w:val="20"/>
              </w:rPr>
              <w:t xml:space="preserve">за период, находящихся под </w:t>
            </w:r>
            <w:r w:rsidRPr="000A5350">
              <w:rPr>
                <w:sz w:val="20"/>
              </w:rPr>
              <w:lastRenderedPageBreak/>
              <w:t>диспансерным наблюдением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9E511D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DN –</w:t>
            </w:r>
            <w:r w:rsidRPr="000A5350">
              <w:rPr>
                <w:sz w:val="20"/>
              </w:rPr>
              <w:t xml:space="preserve"> общее число взрослых пациентов, находящихся под диспансерным наблюдением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873DF8" w:rsidRPr="000A5350" w:rsidTr="000D0097">
        <w:trPr>
          <w:trHeight w:val="375"/>
        </w:trPr>
        <w:tc>
          <w:tcPr>
            <w:tcW w:w="1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73DF8" w:rsidRPr="000A5350" w:rsidRDefault="00873DF8" w:rsidP="00873DF8">
            <w:pPr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lastRenderedPageBreak/>
              <w:t>Блок 2. Детское население (от 0 до 17 лет включительно)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73DF8" w:rsidRPr="000A5350" w:rsidRDefault="00873DF8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73DF8" w:rsidRPr="000A5350" w:rsidRDefault="00873DF8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</w:tc>
      </w:tr>
      <w:tr w:rsidR="006B7B5F" w:rsidRPr="000A5350" w:rsidTr="000D0097">
        <w:trPr>
          <w:trHeight w:val="37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9 - 10 баллов: коэффициент 1;</w:t>
            </w:r>
            <w:r w:rsidRPr="000A5350">
              <w:rPr>
                <w:color w:val="000000"/>
                <w:sz w:val="20"/>
              </w:rPr>
              <w:br w:type="page"/>
            </w:r>
            <w:r w:rsidRPr="000A5350">
              <w:rPr>
                <w:color w:val="000000"/>
                <w:sz w:val="20"/>
              </w:rPr>
              <w:br w:type="page"/>
            </w: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5 - 8 баллов: коэффициент 0,5;</w:t>
            </w:r>
            <w:r w:rsidRPr="000A5350">
              <w:rPr>
                <w:color w:val="000000"/>
                <w:sz w:val="20"/>
              </w:rPr>
              <w:br w:type="page"/>
            </w:r>
            <w:r w:rsidRPr="000A5350">
              <w:rPr>
                <w:color w:val="000000"/>
                <w:sz w:val="20"/>
              </w:rPr>
              <w:br w:type="page"/>
            </w: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</w:p>
          <w:p w:rsidR="006B7B5F" w:rsidRPr="000A5350" w:rsidRDefault="006B7B5F" w:rsidP="000D0097">
            <w:pPr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менее 5 баллов: коэффициент 0.</w:t>
            </w:r>
          </w:p>
        </w:tc>
      </w:tr>
      <w:tr w:rsidR="007E301B" w:rsidRPr="000A5350" w:rsidTr="000D0097">
        <w:trPr>
          <w:trHeight w:val="51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Vd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нац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Fd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Pd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Vd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нац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процент охвата вакцинации детей в рамках Национального календаря прививок </w:t>
            </w:r>
            <w:r w:rsidRPr="000A5350">
              <w:rPr>
                <w:sz w:val="20"/>
              </w:rPr>
              <w:t>в отчетном периоде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color w:val="000000"/>
                <w:sz w:val="20"/>
              </w:rPr>
              <w:t>Fd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>нац</w:t>
            </w:r>
            <w:proofErr w:type="spellEnd"/>
            <w:r w:rsidRPr="000A5350">
              <w:rPr>
                <w:color w:val="000000"/>
                <w:sz w:val="20"/>
              </w:rPr>
              <w:t xml:space="preserve"> – фактическое число вакцинированных детей в рамках Национального календаря прививок </w:t>
            </w:r>
            <w:r w:rsidRPr="000A5350">
              <w:rPr>
                <w:sz w:val="20"/>
              </w:rPr>
              <w:t>в отчетном периоде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Pd</w:t>
            </w:r>
            <w:proofErr w:type="gramEnd"/>
            <w:r w:rsidRPr="000A5350">
              <w:rPr>
                <w:sz w:val="20"/>
                <w:vertAlign w:val="subscript"/>
              </w:rPr>
              <w:t>нац</w:t>
            </w:r>
            <w:proofErr w:type="spellEnd"/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>– число детей соответствующего возраста (в соответствие  Национального календарю) на начало отчетного периода.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z w:val="20"/>
                  </w:rPr>
                  <m:t>Ddkms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</w:rPr>
                      <m:t>Cdkms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Cpkms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Ddkms</w:t>
            </w:r>
            <w:proofErr w:type="spellEnd"/>
            <w:r w:rsidRPr="000A5350">
              <w:rPr>
                <w:color w:val="000000"/>
                <w:sz w:val="20"/>
              </w:rPr>
              <w:t xml:space="preserve"> - доля </w:t>
            </w:r>
            <w:r w:rsidRPr="000A5350">
              <w:rPr>
                <w:sz w:val="20"/>
              </w:rPr>
              <w:t xml:space="preserve">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Cdkms</w:t>
            </w:r>
            <w:proofErr w:type="spellEnd"/>
            <w:r w:rsidRPr="000A5350">
              <w:rPr>
                <w:color w:val="000000"/>
                <w:sz w:val="20"/>
              </w:rPr>
              <w:t xml:space="preserve"> - число </w:t>
            </w:r>
            <w:r w:rsidRPr="000A5350">
              <w:rPr>
                <w:sz w:val="20"/>
              </w:rPr>
              <w:t>детей, в отношении которых установлено диспансерное наблюдение по поводу болезней костно-мышечной системы и соединительной ткани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Cpkms</w:t>
            </w:r>
            <w:proofErr w:type="spellEnd"/>
            <w:r w:rsidRPr="000A5350">
              <w:rPr>
                <w:color w:val="000000"/>
                <w:sz w:val="20"/>
              </w:rPr>
              <w:t xml:space="preserve"> - общее число </w:t>
            </w:r>
            <w:r w:rsidRPr="000A5350">
              <w:rPr>
                <w:sz w:val="20"/>
              </w:rPr>
              <w:t xml:space="preserve">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z w:val="20"/>
                  </w:rPr>
                  <m:t>Ddgl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</w:rPr>
                      <m:t>Cdgl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Cpgl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Ddgl</w:t>
            </w:r>
            <w:proofErr w:type="spellEnd"/>
            <w:r w:rsidRPr="000A5350">
              <w:rPr>
                <w:color w:val="000000"/>
                <w:sz w:val="20"/>
              </w:rPr>
              <w:t xml:space="preserve"> - доля </w:t>
            </w:r>
            <w:r w:rsidRPr="000A5350">
              <w:rPr>
                <w:sz w:val="20"/>
              </w:rPr>
              <w:t xml:space="preserve">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 </w:t>
            </w:r>
            <w:proofErr w:type="spellStart"/>
            <w:r w:rsidRPr="000A5350">
              <w:rPr>
                <w:color w:val="000000"/>
                <w:sz w:val="20"/>
              </w:rPr>
              <w:t>Cdgl</w:t>
            </w:r>
            <w:proofErr w:type="spellEnd"/>
            <w:r w:rsidRPr="000A5350">
              <w:rPr>
                <w:color w:val="000000"/>
                <w:sz w:val="20"/>
              </w:rPr>
              <w:t xml:space="preserve"> - число </w:t>
            </w:r>
            <w:r w:rsidRPr="000A5350">
              <w:rPr>
                <w:sz w:val="20"/>
              </w:rPr>
              <w:t>детей, в отношении которых установлено диспансерное наблюдение по поводу болезней глаза и его придаточного аппарата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 </w:t>
            </w:r>
            <w:proofErr w:type="spellStart"/>
            <w:r w:rsidRPr="000A5350">
              <w:rPr>
                <w:color w:val="000000"/>
                <w:sz w:val="20"/>
              </w:rPr>
              <w:t>Cpgl</w:t>
            </w:r>
            <w:proofErr w:type="spellEnd"/>
            <w:r w:rsidRPr="000A5350">
              <w:rPr>
                <w:color w:val="000000"/>
                <w:sz w:val="20"/>
              </w:rPr>
              <w:t xml:space="preserve"> – общее число </w:t>
            </w:r>
            <w:r w:rsidRPr="000A5350">
              <w:rPr>
                <w:sz w:val="20"/>
              </w:rPr>
              <w:t xml:space="preserve">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глаза и его придаточного аппарата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02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4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color w:val="000000"/>
                <w:sz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z w:val="20"/>
                  </w:rPr>
                  <m:t>Dbop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</w:rPr>
                      <m:t>Cdbop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Cpbop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Dbop</w:t>
            </w:r>
            <w:proofErr w:type="spellEnd"/>
            <w:r w:rsidRPr="000A5350">
              <w:rPr>
                <w:color w:val="000000"/>
                <w:sz w:val="20"/>
              </w:rPr>
              <w:t xml:space="preserve"> - доля </w:t>
            </w:r>
            <w:r w:rsidRPr="000A5350">
              <w:rPr>
                <w:sz w:val="20"/>
              </w:rPr>
              <w:t xml:space="preserve">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органов пищеварения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Cdbop</w:t>
            </w:r>
            <w:proofErr w:type="spellEnd"/>
            <w:r w:rsidRPr="000A5350">
              <w:rPr>
                <w:color w:val="000000"/>
                <w:sz w:val="20"/>
              </w:rPr>
              <w:t xml:space="preserve"> - число </w:t>
            </w:r>
            <w:r w:rsidRPr="000A5350">
              <w:rPr>
                <w:sz w:val="20"/>
              </w:rPr>
              <w:t>детей, в отношении которых установлено диспансерное наблюдение по поводу болезней органов пищеварения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Cpbop</w:t>
            </w:r>
            <w:proofErr w:type="spellEnd"/>
            <w:r w:rsidRPr="000A5350">
              <w:rPr>
                <w:color w:val="000000"/>
                <w:sz w:val="20"/>
              </w:rPr>
              <w:t xml:space="preserve"> - общее число </w:t>
            </w:r>
            <w:r w:rsidRPr="000A5350">
              <w:rPr>
                <w:sz w:val="20"/>
              </w:rPr>
              <w:t xml:space="preserve">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органов пищеварения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02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z w:val="20"/>
                  </w:rPr>
                  <m:t>Ddbsk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</w:rPr>
                      <m:t>Cdbsk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Cpbsk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Ddbsk</w:t>
            </w:r>
            <w:proofErr w:type="spellEnd"/>
            <w:r w:rsidRPr="000A5350">
              <w:rPr>
                <w:color w:val="000000"/>
                <w:sz w:val="20"/>
              </w:rPr>
              <w:t xml:space="preserve"> - доля </w:t>
            </w:r>
            <w:r w:rsidRPr="000A5350">
              <w:rPr>
                <w:sz w:val="20"/>
              </w:rPr>
              <w:t xml:space="preserve">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</w:t>
            </w:r>
            <w:r w:rsidRPr="000A5350">
              <w:rPr>
                <w:sz w:val="20"/>
              </w:rPr>
              <w:lastRenderedPageBreak/>
              <w:t>жизни установленными диагнозами болезней системы кровообращения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Cdbsk</w:t>
            </w:r>
            <w:proofErr w:type="spellEnd"/>
            <w:r w:rsidRPr="000A5350">
              <w:rPr>
                <w:color w:val="000000"/>
                <w:sz w:val="20"/>
              </w:rPr>
              <w:t xml:space="preserve"> - число </w:t>
            </w:r>
            <w:r w:rsidRPr="000A5350">
              <w:rPr>
                <w:sz w:val="20"/>
              </w:rPr>
              <w:t>детей, в отношении которых установлено диспансерное наблюдение по поводу болезней системы кровообращения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Cpbsk</w:t>
            </w:r>
            <w:proofErr w:type="spellEnd"/>
            <w:r w:rsidRPr="000A5350">
              <w:rPr>
                <w:color w:val="000000"/>
                <w:sz w:val="20"/>
              </w:rPr>
              <w:t xml:space="preserve"> - </w:t>
            </w:r>
            <w:r w:rsidRPr="000A5350">
              <w:rPr>
                <w:sz w:val="20"/>
              </w:rPr>
              <w:t xml:space="preserve">общее число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системы кровообращения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02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A5350">
              <w:rPr>
                <w:color w:val="000000"/>
                <w:sz w:val="20"/>
              </w:rPr>
              <w:t>с</w:t>
            </w:r>
            <w:proofErr w:type="gramEnd"/>
            <w:r w:rsidRPr="000A5350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color w:val="000000"/>
                <w:sz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/>
                    <w:color w:val="000000"/>
                    <w:sz w:val="20"/>
                  </w:rPr>
                  <m:t>Ddbes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</w:rPr>
                      <m:t>Cdbes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Cpbes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Ddbes</w:t>
            </w:r>
            <w:proofErr w:type="spellEnd"/>
            <w:r w:rsidRPr="000A5350">
              <w:rPr>
                <w:color w:val="000000"/>
                <w:sz w:val="20"/>
              </w:rPr>
              <w:t xml:space="preserve"> - доля </w:t>
            </w:r>
            <w:r w:rsidRPr="000A5350">
              <w:rPr>
                <w:sz w:val="20"/>
              </w:rPr>
              <w:t xml:space="preserve"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Cdbes</w:t>
            </w:r>
            <w:proofErr w:type="spellEnd"/>
            <w:r w:rsidRPr="000A5350">
              <w:rPr>
                <w:color w:val="000000"/>
                <w:sz w:val="20"/>
              </w:rPr>
              <w:t xml:space="preserve"> - число </w:t>
            </w:r>
            <w:r w:rsidRPr="000A5350">
              <w:rPr>
                <w:sz w:val="20"/>
              </w:rPr>
              <w:t>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Cpbes</w:t>
            </w:r>
            <w:proofErr w:type="spellEnd"/>
            <w:r w:rsidRPr="000A5350">
              <w:rPr>
                <w:color w:val="000000"/>
                <w:sz w:val="20"/>
              </w:rPr>
              <w:t xml:space="preserve"> - </w:t>
            </w:r>
            <w:r w:rsidRPr="000A5350">
              <w:rPr>
                <w:sz w:val="20"/>
              </w:rPr>
              <w:t xml:space="preserve">общее число детей </w:t>
            </w:r>
            <w:proofErr w:type="gramStart"/>
            <w:r w:rsidRPr="000A5350">
              <w:rPr>
                <w:sz w:val="20"/>
              </w:rPr>
              <w:t>с</w:t>
            </w:r>
            <w:proofErr w:type="gramEnd"/>
            <w:r w:rsidRPr="000A5350">
              <w:rPr>
                <w:sz w:val="20"/>
              </w:rPr>
              <w:t xml:space="preserve"> впервые </w:t>
            </w:r>
            <w:proofErr w:type="gramStart"/>
            <w:r w:rsidRPr="000A5350">
              <w:rPr>
                <w:sz w:val="20"/>
              </w:rPr>
              <w:t>в</w:t>
            </w:r>
            <w:proofErr w:type="gramEnd"/>
            <w:r w:rsidRPr="000A5350">
              <w:rPr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6B7B5F" w:rsidRPr="000A5350" w:rsidTr="000D0097">
        <w:trPr>
          <w:trHeight w:val="37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смертности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7B5F" w:rsidRPr="000A5350" w:rsidRDefault="006B7B5F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3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7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Смертность детей в возрасте 0-17 лет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Dt</m:t>
                </m:r>
                <m:r>
                  <w:rPr>
                    <w:rFonts w:eastAsia="Cambria Math"/>
                    <w:color w:val="000000"/>
                    <w:sz w:val="20"/>
                  </w:rPr>
                  <m:t>h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/>
                    <w:color w:val="000000"/>
                    <w:sz w:val="20"/>
                    <w:vertAlign w:val="subscript"/>
                  </w:rPr>
                  <m:t>0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-</m:t>
                </m:r>
                <m:r>
                  <w:rPr>
                    <w:rFonts w:ascii="Cambria Math" w:eastAsia="Cambria Math"/>
                    <w:color w:val="000000"/>
                    <w:sz w:val="20"/>
                    <w:vertAlign w:val="subscript"/>
                  </w:rPr>
                  <m:t xml:space="preserve">17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D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 xml:space="preserve"> 0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-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>17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Nas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 xml:space="preserve"> 0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-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>17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100000</m:t>
                </m:r>
                <m:r>
                  <w:rPr>
                    <w:rFonts w:ascii="Cambria Math" w:eastAsia="Cambria Math"/>
                    <w:color w:val="000000"/>
                    <w:sz w:val="20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Dth</w:t>
            </w:r>
            <w:proofErr w:type="spellEnd"/>
            <w:r w:rsidRPr="000A5350">
              <w:rPr>
                <w:color w:val="000000"/>
                <w:sz w:val="20"/>
              </w:rPr>
              <w:t xml:space="preserve"> 0-17 – смертность детей в возрасте 0-17 лет </w:t>
            </w:r>
            <w:r w:rsidRPr="000A5350">
              <w:rPr>
                <w:sz w:val="20"/>
              </w:rPr>
              <w:t>за период</w:t>
            </w:r>
            <w:r w:rsidRPr="000A5350">
              <w:rPr>
                <w:color w:val="000000"/>
                <w:sz w:val="20"/>
              </w:rPr>
              <w:t xml:space="preserve"> в медицинских организациях, имеющих прикрепленное население;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D 0-17 – число умерших детей в возрасте 0-17 лет включительно среди прикрепленного населения </w:t>
            </w:r>
            <w:r w:rsidRPr="000A5350">
              <w:rPr>
                <w:sz w:val="20"/>
              </w:rPr>
              <w:t>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lastRenderedPageBreak/>
              <w:t>Nas</w:t>
            </w:r>
            <w:proofErr w:type="spellEnd"/>
            <w:r w:rsidRPr="000A5350">
              <w:rPr>
                <w:color w:val="000000"/>
                <w:sz w:val="20"/>
              </w:rPr>
              <w:t xml:space="preserve"> 0-17 – численность прикрепленного населения детей в возрасте 0-17 лет включительно </w:t>
            </w:r>
            <w:r w:rsidRPr="000A5350">
              <w:rPr>
                <w:sz w:val="20"/>
              </w:rPr>
              <w:t>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873DF8" w:rsidRPr="000A5350" w:rsidTr="000D0097">
        <w:trPr>
          <w:trHeight w:val="375"/>
        </w:trPr>
        <w:tc>
          <w:tcPr>
            <w:tcW w:w="11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73DF8" w:rsidRPr="000A5350" w:rsidRDefault="00873DF8" w:rsidP="00873DF8">
            <w:pPr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873DF8" w:rsidRPr="000A5350" w:rsidRDefault="00873DF8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73DF8" w:rsidRPr="000A5350" w:rsidRDefault="00873DF8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</w:p>
        </w:tc>
      </w:tr>
      <w:tr w:rsidR="006B7B5F" w:rsidRPr="000A5350" w:rsidTr="000D0097">
        <w:trPr>
          <w:trHeight w:val="375"/>
        </w:trPr>
        <w:tc>
          <w:tcPr>
            <w:tcW w:w="1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B5F" w:rsidRPr="000A5350" w:rsidRDefault="006B7B5F" w:rsidP="00076C53">
            <w:pPr>
              <w:jc w:val="center"/>
              <w:rPr>
                <w:bCs/>
                <w:color w:val="000000"/>
                <w:sz w:val="20"/>
              </w:rPr>
            </w:pPr>
            <w:r w:rsidRPr="000A5350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B5F" w:rsidRPr="000A5350" w:rsidRDefault="006B7B5F" w:rsidP="00873DF8">
            <w:pPr>
              <w:rPr>
                <w:color w:val="000000"/>
                <w:sz w:val="20"/>
              </w:rPr>
            </w:pPr>
          </w:p>
          <w:p w:rsidR="006B7B5F" w:rsidRPr="000A5350" w:rsidRDefault="006B7B5F" w:rsidP="00873DF8">
            <w:pPr>
              <w:rPr>
                <w:color w:val="000000"/>
                <w:sz w:val="20"/>
              </w:rPr>
            </w:pPr>
          </w:p>
          <w:p w:rsidR="006B7B5F" w:rsidRPr="000A5350" w:rsidRDefault="006B7B5F" w:rsidP="00873DF8">
            <w:pPr>
              <w:rPr>
                <w:color w:val="000000"/>
                <w:sz w:val="20"/>
              </w:rPr>
            </w:pPr>
          </w:p>
          <w:p w:rsidR="006B7B5F" w:rsidRPr="000A5350" w:rsidRDefault="006B7B5F" w:rsidP="00873DF8">
            <w:pPr>
              <w:rPr>
                <w:color w:val="000000"/>
                <w:sz w:val="20"/>
              </w:rPr>
            </w:pPr>
          </w:p>
          <w:p w:rsidR="006B7B5F" w:rsidRPr="000A5350" w:rsidRDefault="006B7B5F" w:rsidP="00873DF8">
            <w:pPr>
              <w:rPr>
                <w:color w:val="000000"/>
                <w:sz w:val="20"/>
              </w:rPr>
            </w:pPr>
          </w:p>
          <w:p w:rsidR="006B7B5F" w:rsidRPr="000A5350" w:rsidRDefault="006B7B5F" w:rsidP="00873DF8">
            <w:pPr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6 баллов: коэффициент 1;</w:t>
            </w:r>
            <w:r w:rsidRPr="000A5350">
              <w:rPr>
                <w:color w:val="000000"/>
                <w:sz w:val="20"/>
              </w:rPr>
              <w:br/>
            </w:r>
            <w:r w:rsidRPr="000A5350">
              <w:rPr>
                <w:color w:val="000000"/>
                <w:sz w:val="20"/>
              </w:rPr>
              <w:br/>
              <w:t xml:space="preserve"> 4 - 5 баллов: коэффициент 0,5;</w:t>
            </w:r>
            <w:r w:rsidRPr="000A5350">
              <w:rPr>
                <w:color w:val="000000"/>
                <w:sz w:val="20"/>
              </w:rPr>
              <w:br/>
            </w:r>
            <w:r w:rsidRPr="000A5350">
              <w:rPr>
                <w:color w:val="000000"/>
                <w:sz w:val="20"/>
              </w:rPr>
              <w:br/>
              <w:t>менее 3 баллов: коэффициент 0.</w:t>
            </w:r>
          </w:p>
        </w:tc>
      </w:tr>
      <w:tr w:rsidR="007E301B" w:rsidRPr="000A5350" w:rsidTr="000D0097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A5350">
              <w:rPr>
                <w:color w:val="000000"/>
                <w:sz w:val="20"/>
              </w:rPr>
              <w:t>доабортное</w:t>
            </w:r>
            <w:proofErr w:type="spellEnd"/>
            <w:r w:rsidRPr="000A5350">
              <w:rPr>
                <w:color w:val="000000"/>
                <w:sz w:val="20"/>
              </w:rPr>
              <w:t xml:space="preserve"> консультирование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W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K</m:t>
                    </m:r>
                    <m:r>
                      <w:rPr>
                        <w:rFonts w:eastAsia="Cambria Math"/>
                        <w:color w:val="000000"/>
                        <w:sz w:val="20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K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ind w:left="34" w:right="-145" w:hanging="34"/>
              <w:jc w:val="both"/>
              <w:rPr>
                <w:sz w:val="20"/>
              </w:rPr>
            </w:pPr>
            <w:r w:rsidRPr="000A5350">
              <w:rPr>
                <w:sz w:val="20"/>
              </w:rPr>
              <w:t>W</w:t>
            </w:r>
            <w:r w:rsidRPr="000A5350">
              <w:rPr>
                <w:sz w:val="20"/>
                <w:vertAlign w:val="subscript"/>
              </w:rPr>
              <w:t xml:space="preserve"> </w:t>
            </w:r>
            <w:r w:rsidRPr="000A5350">
              <w:rPr>
                <w:sz w:val="20"/>
              </w:rPr>
              <w:t xml:space="preserve">–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A5350">
              <w:rPr>
                <w:sz w:val="20"/>
              </w:rPr>
              <w:t>доабортное</w:t>
            </w:r>
            <w:proofErr w:type="spellEnd"/>
            <w:r w:rsidRPr="000A5350">
              <w:rPr>
                <w:sz w:val="20"/>
              </w:rPr>
              <w:t xml:space="preserve"> консультирование за период;</w:t>
            </w:r>
          </w:p>
          <w:p w:rsidR="007E301B" w:rsidRPr="000A5350" w:rsidRDefault="007E301B" w:rsidP="00076C53">
            <w:pPr>
              <w:ind w:left="34" w:right="-125" w:hanging="34"/>
              <w:jc w:val="both"/>
              <w:rPr>
                <w:sz w:val="20"/>
              </w:rPr>
            </w:pPr>
            <w:proofErr w:type="spellStart"/>
            <w:proofErr w:type="gramStart"/>
            <w:r w:rsidRPr="000A5350">
              <w:rPr>
                <w:sz w:val="20"/>
              </w:rPr>
              <w:t>K</w:t>
            </w:r>
            <w:proofErr w:type="gramEnd"/>
            <w:r w:rsidRPr="000A5350">
              <w:rPr>
                <w:sz w:val="20"/>
                <w:vertAlign w:val="subscript"/>
              </w:rPr>
              <w:t>отк</w:t>
            </w:r>
            <w:proofErr w:type="spellEnd"/>
            <w:r w:rsidRPr="000A5350">
              <w:rPr>
                <w:sz w:val="20"/>
              </w:rPr>
              <w:t xml:space="preserve"> – число женщин, отказавшихся от искусственного прерывания беременности; 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sz w:val="20"/>
              </w:rPr>
              <w:t xml:space="preserve">K – общее число женщин, прошедших </w:t>
            </w:r>
            <w:proofErr w:type="spellStart"/>
            <w:r w:rsidRPr="000A5350">
              <w:rPr>
                <w:sz w:val="20"/>
              </w:rPr>
              <w:t>доабортное</w:t>
            </w:r>
            <w:proofErr w:type="spellEnd"/>
            <w:r w:rsidRPr="000A5350">
              <w:rPr>
                <w:sz w:val="20"/>
              </w:rPr>
              <w:t xml:space="preserve"> консультирование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Vb</m:t>
                </m:r>
                <m:r>
                  <w:rPr>
                    <w:rFonts w:ascii="Cambria Math" w:eastAsia="Cambria Math" w:hAnsi="Cambria Math"/>
                    <w:color w:val="000000"/>
                    <w:sz w:val="20"/>
                    <w:vertAlign w:val="subscript"/>
                  </w:rPr>
                  <m:t>covid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Fb</m:t>
                    </m:r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Pb</m:t>
                    </m:r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  <m:t>covid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Vb</w:t>
            </w:r>
            <w:r w:rsidRPr="000A5350">
              <w:rPr>
                <w:color w:val="000000"/>
                <w:sz w:val="20"/>
                <w:vertAlign w:val="subscript"/>
              </w:rPr>
              <w:t>covid</w:t>
            </w:r>
            <w:proofErr w:type="spell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</w:t>
            </w:r>
            <w:r w:rsidRPr="000A5350">
              <w:rPr>
                <w:sz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Fb</w:t>
            </w:r>
            <w:r w:rsidRPr="000A5350">
              <w:rPr>
                <w:color w:val="000000"/>
                <w:sz w:val="20"/>
                <w:vertAlign w:val="subscript"/>
              </w:rPr>
              <w:t>covid</w:t>
            </w:r>
            <w:proofErr w:type="spellEnd"/>
            <w:r w:rsidRPr="000A5350">
              <w:rPr>
                <w:color w:val="000000"/>
                <w:sz w:val="20"/>
              </w:rPr>
              <w:t xml:space="preserve"> – фактическое число </w:t>
            </w:r>
            <w:r w:rsidRPr="000A5350">
              <w:rPr>
                <w:sz w:val="20"/>
              </w:rPr>
              <w:t>беременных женщин, вакцинированных от коронавирусной инфекции COVID-19,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proofErr w:type="spellStart"/>
            <w:r w:rsidRPr="000A5350">
              <w:rPr>
                <w:color w:val="000000"/>
                <w:sz w:val="20"/>
              </w:rPr>
              <w:t>Pbcovid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женщин, состоящих на учете по беременности и родам на начало периода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3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sz w:val="20"/>
                  </w:rPr>
                  <m:t>Z</m:t>
                </m:r>
                <m:r>
                  <w:rPr>
                    <w:rFonts w:eastAsia="Cambria Math"/>
                    <w:sz w:val="20"/>
                    <w:vertAlign w:val="subscript"/>
                  </w:rPr>
                  <m:t>шм</m:t>
                </m:r>
                <m:r>
                  <w:rPr>
                    <w:rFonts w:ascii="Cambria Math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sz w:val="20"/>
                      </w:rPr>
                      <m:t>A</m:t>
                    </m:r>
                    <m:r>
                      <w:rPr>
                        <w:rFonts w:eastAsia="Cambria Math"/>
                        <w:sz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/>
                        <w:sz w:val="20"/>
                      </w:rPr>
                      <m:t>V</m:t>
                    </m:r>
                    <m:r>
                      <w:rPr>
                        <w:rFonts w:eastAsia="Cambria Math"/>
                        <w:sz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sz w:val="20"/>
                  </w:rPr>
                  <m:t>×</m:t>
                </m:r>
                <m:r>
                  <w:rPr>
                    <w:rFonts w:ascii="Cambria Math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sz w:val="20"/>
              </w:rPr>
            </w:pPr>
            <w:r w:rsidRPr="000A5350">
              <w:rPr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r w:rsidRPr="000A5350">
              <w:rPr>
                <w:sz w:val="20"/>
              </w:rPr>
              <w:t xml:space="preserve">Z </w:t>
            </w:r>
            <w:proofErr w:type="spellStart"/>
            <w:r w:rsidRPr="000A5350">
              <w:rPr>
                <w:sz w:val="20"/>
              </w:rPr>
              <w:t>шм</w:t>
            </w:r>
            <w:proofErr w:type="spellEnd"/>
            <w:r w:rsidRPr="000A5350">
              <w:rPr>
                <w:sz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</w:rPr>
            </w:pPr>
            <w:r w:rsidRPr="000A5350">
              <w:rPr>
                <w:sz w:val="20"/>
              </w:rPr>
              <w:lastRenderedPageBreak/>
              <w:t xml:space="preserve">A </w:t>
            </w:r>
            <w:proofErr w:type="spellStart"/>
            <w:r w:rsidRPr="000A5350">
              <w:rPr>
                <w:sz w:val="20"/>
              </w:rPr>
              <w:t>шм</w:t>
            </w:r>
            <w:proofErr w:type="spellEnd"/>
            <w:r w:rsidRPr="000A5350">
              <w:rPr>
                <w:sz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sz w:val="20"/>
              </w:rPr>
              <w:t xml:space="preserve">V </w:t>
            </w:r>
            <w:proofErr w:type="spellStart"/>
            <w:r w:rsidRPr="000A5350">
              <w:rPr>
                <w:sz w:val="20"/>
              </w:rPr>
              <w:t>шм</w:t>
            </w:r>
            <w:proofErr w:type="spellEnd"/>
            <w:r w:rsidRPr="000A5350">
              <w:rPr>
                <w:sz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12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ParaPr>
                <m:jc m:val="center"/>
              </m:oMathParaPr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Z</m:t>
                </m:r>
                <m:r>
                  <w:rPr>
                    <w:rFonts w:eastAsia="Cambria Math"/>
                    <w:color w:val="000000"/>
                    <w:sz w:val="20"/>
                    <w:vertAlign w:val="subscript"/>
                  </w:rPr>
                  <m:t>мж</m:t>
                </m:r>
                <m:r>
                  <w:rPr>
                    <w:rFonts w:ascii="Cambria Math"/>
                    <w:color w:val="000000"/>
                    <w:sz w:val="20"/>
                    <w:vertAlign w:val="subscript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A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V</m:t>
                    </m:r>
                    <m:r>
                      <w:rPr>
                        <w:rFonts w:eastAsia="Cambria Math"/>
                        <w:color w:val="000000"/>
                        <w:sz w:val="20"/>
                        <w:vertAlign w:val="subscript"/>
                      </w:rPr>
                      <m:t>мж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Z </w:t>
            </w:r>
            <w:proofErr w:type="spellStart"/>
            <w:r w:rsidRPr="000A5350">
              <w:rPr>
                <w:color w:val="000000"/>
                <w:sz w:val="20"/>
              </w:rPr>
              <w:t>мж</w:t>
            </w:r>
            <w:proofErr w:type="spellEnd"/>
            <w:r w:rsidRPr="000A5350">
              <w:rPr>
                <w:color w:val="000000"/>
                <w:sz w:val="20"/>
              </w:rPr>
              <w:t xml:space="preserve"> – доля </w:t>
            </w:r>
            <w:r w:rsidRPr="000A5350">
              <w:rPr>
                <w:sz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A </w:t>
            </w:r>
            <w:proofErr w:type="spellStart"/>
            <w:r w:rsidRPr="000A5350">
              <w:rPr>
                <w:color w:val="000000"/>
                <w:sz w:val="20"/>
              </w:rPr>
              <w:t>мж</w:t>
            </w:r>
            <w:proofErr w:type="spellEnd"/>
            <w:r w:rsidRPr="000A5350">
              <w:rPr>
                <w:color w:val="000000"/>
                <w:sz w:val="20"/>
              </w:rPr>
              <w:t xml:space="preserve"> – число </w:t>
            </w:r>
            <w:r w:rsidRPr="000A5350">
              <w:rPr>
                <w:sz w:val="20"/>
              </w:rPr>
              <w:t>женщин с установленным диагнозом злокачественное новообразование молочной железы, выявленным впервые при диспансеризации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V </w:t>
            </w:r>
            <w:proofErr w:type="spellStart"/>
            <w:r w:rsidRPr="000A5350">
              <w:rPr>
                <w:color w:val="000000"/>
                <w:sz w:val="20"/>
              </w:rPr>
              <w:t>мж</w:t>
            </w:r>
            <w:proofErr w:type="spellEnd"/>
            <w:r w:rsidRPr="000A5350">
              <w:rPr>
                <w:color w:val="000000"/>
                <w:sz w:val="20"/>
              </w:rPr>
              <w:t xml:space="preserve"> – общее число </w:t>
            </w:r>
            <w:r w:rsidRPr="000A5350">
              <w:rPr>
                <w:sz w:val="20"/>
              </w:rPr>
              <w:t>женщин с установленным диагнозом злокачественное новообразование молочной железы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1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  <w:tr w:rsidR="007E301B" w:rsidRPr="000A5350" w:rsidTr="000D0097">
        <w:trPr>
          <w:trHeight w:val="76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6B7B5F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5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 </w:t>
            </w:r>
            <w:r w:rsidRPr="000A5350">
              <w:rPr>
                <w:rFonts w:eastAsia="Cambria Math"/>
                <w:color w:val="000000"/>
                <w:sz w:val="20"/>
              </w:rPr>
              <w:br/>
            </w:r>
            <m:oMathPara>
              <m:oMath>
                <m:r>
                  <w:rPr>
                    <w:rFonts w:ascii="Cambria Math" w:eastAsia="Cambria Math" w:hAnsi="Cambria Math"/>
                    <w:color w:val="000000"/>
                    <w:sz w:val="20"/>
                  </w:rPr>
                  <m:t>B</m:t>
                </m:r>
                <m:r>
                  <w:rPr>
                    <w:rFonts w:ascii="Cambria Math" w:eastAsia="Cambria Math"/>
                    <w:color w:val="000000"/>
                    <w:sz w:val="20"/>
                  </w:rPr>
                  <m:t xml:space="preserve"> </m:t>
                </m:r>
                <m:r>
                  <w:rPr>
                    <w:rFonts w:ascii="Cambria Math"/>
                    <w:color w:val="000000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/>
                        <w:sz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/>
                        <w:sz w:val="20"/>
                      </w:rPr>
                      <m:t>U</m:t>
                    </m:r>
                    <m:r>
                      <w:rPr>
                        <w:rFonts w:ascii="Cambria Math" w:eastAsia="Cambria Math"/>
                        <w:color w:val="000000"/>
                        <w:sz w:val="20"/>
                      </w:rPr>
                      <m:t xml:space="preserve"> </m:t>
                    </m:r>
                  </m:den>
                </m:f>
                <m:r>
                  <w:rPr>
                    <w:color w:val="000000"/>
                    <w:sz w:val="20"/>
                  </w:rPr>
                  <m:t>×</m:t>
                </m:r>
                <m:r>
                  <w:rPr>
                    <w:rFonts w:ascii="Cambria Math"/>
                    <w:color w:val="000000"/>
                    <w:sz w:val="20"/>
                  </w:rPr>
                  <m:t>100,</m:t>
                </m:r>
              </m:oMath>
            </m:oMathPara>
          </w:p>
          <w:p w:rsidR="007E301B" w:rsidRPr="000A5350" w:rsidRDefault="007E301B" w:rsidP="00076C53">
            <w:pPr>
              <w:ind w:firstLine="709"/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где: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proofErr w:type="gramStart"/>
            <w:r w:rsidRPr="000A5350">
              <w:rPr>
                <w:color w:val="000000"/>
                <w:sz w:val="20"/>
              </w:rPr>
              <w:t>В</w:t>
            </w:r>
            <w:proofErr w:type="gramEnd"/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</w:t>
            </w:r>
            <w:proofErr w:type="gramStart"/>
            <w:r w:rsidRPr="000A5350">
              <w:rPr>
                <w:color w:val="000000"/>
                <w:sz w:val="20"/>
              </w:rPr>
              <w:t>доля</w:t>
            </w:r>
            <w:proofErr w:type="gramEnd"/>
            <w:r w:rsidRPr="000A5350">
              <w:rPr>
                <w:sz w:val="20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      </w:r>
            <w:r w:rsidRPr="000A5350">
              <w:rPr>
                <w:color w:val="000000"/>
                <w:sz w:val="20"/>
              </w:rPr>
              <w:t>;</w:t>
            </w:r>
          </w:p>
          <w:p w:rsidR="007E301B" w:rsidRPr="000A5350" w:rsidRDefault="007E301B" w:rsidP="00076C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</w:t>
            </w:r>
            <w:r w:rsidRPr="000A5350">
              <w:rPr>
                <w:sz w:val="20"/>
              </w:rPr>
              <w:t xml:space="preserve">(УЗИ и определение материнских сывороточных маркеров) </w:t>
            </w:r>
            <w:r w:rsidRPr="000A5350">
              <w:rPr>
                <w:color w:val="000000"/>
                <w:sz w:val="20"/>
              </w:rPr>
              <w:t>и 19-21 неделя (УЗИ), с родоразрешением за период;</w:t>
            </w:r>
          </w:p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U</w:t>
            </w:r>
            <w:r w:rsidRPr="000A5350">
              <w:rPr>
                <w:color w:val="000000"/>
                <w:sz w:val="20"/>
                <w:vertAlign w:val="subscript"/>
              </w:rPr>
              <w:t xml:space="preserve"> </w:t>
            </w:r>
            <w:r w:rsidRPr="000A5350">
              <w:rPr>
                <w:color w:val="000000"/>
                <w:sz w:val="20"/>
              </w:rPr>
              <w:t xml:space="preserve">– общее число </w:t>
            </w:r>
            <w:r w:rsidRPr="000A5350">
              <w:rPr>
                <w:sz w:val="20"/>
              </w:rPr>
              <w:t>женщин, состоявших на учете по поводу беременности и родов за период, с родоразрешением за период</w:t>
            </w:r>
            <w:r w:rsidRPr="000A5350">
              <w:rPr>
                <w:color w:val="000000"/>
                <w:sz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полугодие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01B" w:rsidRPr="000A5350" w:rsidRDefault="007E301B" w:rsidP="00076C53">
            <w:pPr>
              <w:jc w:val="center"/>
              <w:rPr>
                <w:color w:val="000000"/>
                <w:sz w:val="20"/>
              </w:rPr>
            </w:pPr>
            <w:r w:rsidRPr="000A5350">
              <w:rPr>
                <w:color w:val="000000"/>
                <w:sz w:val="20"/>
              </w:rPr>
              <w:t>2</w:t>
            </w:r>
          </w:p>
        </w:tc>
        <w:tc>
          <w:tcPr>
            <w:tcW w:w="1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301B" w:rsidRPr="000A5350" w:rsidRDefault="007E301B" w:rsidP="00076C53">
            <w:pPr>
              <w:jc w:val="both"/>
              <w:rPr>
                <w:color w:val="000000"/>
                <w:sz w:val="20"/>
              </w:rPr>
            </w:pPr>
          </w:p>
        </w:tc>
      </w:tr>
    </w:tbl>
    <w:p w:rsidR="006B7B5F" w:rsidRPr="009E511D" w:rsidRDefault="00873DF8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  <w:r w:rsidRPr="000A5350">
        <w:rPr>
          <w:rStyle w:val="apple-style-span"/>
          <w:color w:val="000000"/>
          <w:sz w:val="24"/>
          <w:szCs w:val="24"/>
          <w:shd w:val="clear" w:color="auto" w:fill="FFFFFF"/>
        </w:rPr>
        <w:t>* - По набору кодов МКБ-10.</w:t>
      </w:r>
    </w:p>
    <w:sectPr w:rsidR="006B7B5F" w:rsidRPr="009E511D" w:rsidSect="00F232F5">
      <w:footerReference w:type="default" r:id="rId7"/>
      <w:pgSz w:w="16838" w:h="11906" w:orient="landscape"/>
      <w:pgMar w:top="1276" w:right="1134" w:bottom="850" w:left="1134" w:header="708" w:footer="708" w:gutter="0"/>
      <w:pgNumType w:start="28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49D" w:rsidRDefault="0010349D" w:rsidP="00D05FBB">
      <w:r>
        <w:separator/>
      </w:r>
    </w:p>
  </w:endnote>
  <w:endnote w:type="continuationSeparator" w:id="0">
    <w:p w:rsidR="0010349D" w:rsidRDefault="0010349D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D638D8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F232F5">
          <w:rPr>
            <w:noProof/>
            <w:sz w:val="24"/>
            <w:szCs w:val="24"/>
          </w:rPr>
          <w:t>290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49D" w:rsidRDefault="0010349D" w:rsidP="00D05FBB">
      <w:r>
        <w:separator/>
      </w:r>
    </w:p>
  </w:footnote>
  <w:footnote w:type="continuationSeparator" w:id="0">
    <w:p w:rsidR="0010349D" w:rsidRDefault="0010349D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4586B"/>
    <w:rsid w:val="000514E5"/>
    <w:rsid w:val="00052A2C"/>
    <w:rsid w:val="00067673"/>
    <w:rsid w:val="00076C53"/>
    <w:rsid w:val="000A314F"/>
    <w:rsid w:val="000A5350"/>
    <w:rsid w:val="000C0A15"/>
    <w:rsid w:val="000D0097"/>
    <w:rsid w:val="000D169A"/>
    <w:rsid w:val="000E1DF8"/>
    <w:rsid w:val="000F6504"/>
    <w:rsid w:val="0010349D"/>
    <w:rsid w:val="00187E53"/>
    <w:rsid w:val="001A5A9D"/>
    <w:rsid w:val="001F1B36"/>
    <w:rsid w:val="00210669"/>
    <w:rsid w:val="002207C9"/>
    <w:rsid w:val="00220D3A"/>
    <w:rsid w:val="00285A7C"/>
    <w:rsid w:val="00290361"/>
    <w:rsid w:val="002A4D7C"/>
    <w:rsid w:val="002A7E2B"/>
    <w:rsid w:val="002C09A2"/>
    <w:rsid w:val="002C1BC2"/>
    <w:rsid w:val="002D4DE1"/>
    <w:rsid w:val="002E2444"/>
    <w:rsid w:val="00333E46"/>
    <w:rsid w:val="00381FE0"/>
    <w:rsid w:val="003D3E49"/>
    <w:rsid w:val="003E7A23"/>
    <w:rsid w:val="003E7EEC"/>
    <w:rsid w:val="00420CE7"/>
    <w:rsid w:val="00434072"/>
    <w:rsid w:val="004E0536"/>
    <w:rsid w:val="00501195"/>
    <w:rsid w:val="00525D39"/>
    <w:rsid w:val="0053327B"/>
    <w:rsid w:val="0056017C"/>
    <w:rsid w:val="00582DB1"/>
    <w:rsid w:val="00582DB6"/>
    <w:rsid w:val="005C63F4"/>
    <w:rsid w:val="0062276E"/>
    <w:rsid w:val="006440E6"/>
    <w:rsid w:val="0069263F"/>
    <w:rsid w:val="006A1222"/>
    <w:rsid w:val="006A70D4"/>
    <w:rsid w:val="006B7B5F"/>
    <w:rsid w:val="006D4A12"/>
    <w:rsid w:val="006D7444"/>
    <w:rsid w:val="006F001A"/>
    <w:rsid w:val="006F78EA"/>
    <w:rsid w:val="00743171"/>
    <w:rsid w:val="00762E09"/>
    <w:rsid w:val="00770A26"/>
    <w:rsid w:val="00796639"/>
    <w:rsid w:val="007C708E"/>
    <w:rsid w:val="007D2701"/>
    <w:rsid w:val="007D5169"/>
    <w:rsid w:val="007E301B"/>
    <w:rsid w:val="007E4AB0"/>
    <w:rsid w:val="007E6865"/>
    <w:rsid w:val="00822B6C"/>
    <w:rsid w:val="00823D36"/>
    <w:rsid w:val="00832E33"/>
    <w:rsid w:val="00842754"/>
    <w:rsid w:val="00842C8D"/>
    <w:rsid w:val="00854379"/>
    <w:rsid w:val="00857591"/>
    <w:rsid w:val="00861E81"/>
    <w:rsid w:val="00862D61"/>
    <w:rsid w:val="00873DF8"/>
    <w:rsid w:val="00874AB7"/>
    <w:rsid w:val="00885F81"/>
    <w:rsid w:val="008A50B1"/>
    <w:rsid w:val="008D3B46"/>
    <w:rsid w:val="0091655C"/>
    <w:rsid w:val="0096082F"/>
    <w:rsid w:val="0096506C"/>
    <w:rsid w:val="0096719F"/>
    <w:rsid w:val="009B4A2C"/>
    <w:rsid w:val="009C679E"/>
    <w:rsid w:val="009D1527"/>
    <w:rsid w:val="009E511D"/>
    <w:rsid w:val="00A078B5"/>
    <w:rsid w:val="00A13D50"/>
    <w:rsid w:val="00A17F84"/>
    <w:rsid w:val="00A33B81"/>
    <w:rsid w:val="00A42BED"/>
    <w:rsid w:val="00A50AE8"/>
    <w:rsid w:val="00A75B4B"/>
    <w:rsid w:val="00AA15DF"/>
    <w:rsid w:val="00AA7520"/>
    <w:rsid w:val="00AC0C20"/>
    <w:rsid w:val="00AE65E9"/>
    <w:rsid w:val="00AF5FD2"/>
    <w:rsid w:val="00B734E5"/>
    <w:rsid w:val="00B74EA2"/>
    <w:rsid w:val="00BA55D6"/>
    <w:rsid w:val="00BA78B5"/>
    <w:rsid w:val="00BD0DE5"/>
    <w:rsid w:val="00BE29D4"/>
    <w:rsid w:val="00C05CE6"/>
    <w:rsid w:val="00C441AB"/>
    <w:rsid w:val="00C558FD"/>
    <w:rsid w:val="00C70BE2"/>
    <w:rsid w:val="00CB02BC"/>
    <w:rsid w:val="00CC2AF6"/>
    <w:rsid w:val="00CF0514"/>
    <w:rsid w:val="00D05FBB"/>
    <w:rsid w:val="00D3062C"/>
    <w:rsid w:val="00D638D8"/>
    <w:rsid w:val="00D73D8E"/>
    <w:rsid w:val="00D8163D"/>
    <w:rsid w:val="00DB2B1F"/>
    <w:rsid w:val="00DE48EF"/>
    <w:rsid w:val="00E12725"/>
    <w:rsid w:val="00E776AC"/>
    <w:rsid w:val="00EA3753"/>
    <w:rsid w:val="00EC369F"/>
    <w:rsid w:val="00EF6B31"/>
    <w:rsid w:val="00F04410"/>
    <w:rsid w:val="00F232F5"/>
    <w:rsid w:val="00F84AD4"/>
    <w:rsid w:val="00F87F0B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72E9A-8B62-45B5-BE39-88A17A0E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avzavyalova</cp:lastModifiedBy>
  <cp:revision>8</cp:revision>
  <dcterms:created xsi:type="dcterms:W3CDTF">2022-01-24T09:16:00Z</dcterms:created>
  <dcterms:modified xsi:type="dcterms:W3CDTF">2022-01-31T07:10:00Z</dcterms:modified>
</cp:coreProperties>
</file>