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25" w:rsidRPr="009E3A2D" w:rsidRDefault="00D93F25" w:rsidP="00D93F2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9E3A2D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E13285" w:rsidRPr="009E3A2D">
        <w:rPr>
          <w:rFonts w:ascii="Times New Roman" w:hAnsi="Times New Roman"/>
          <w:sz w:val="20"/>
          <w:szCs w:val="20"/>
        </w:rPr>
        <w:t>1</w:t>
      </w:r>
    </w:p>
    <w:p w:rsidR="00D93F25" w:rsidRPr="009E3A2D" w:rsidRDefault="00D93F25" w:rsidP="00D93F2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E3A2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93F25" w:rsidRPr="009E3A2D" w:rsidRDefault="00D93F25" w:rsidP="00D93F2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E3A2D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CC2634" w:rsidRPr="009E3A2D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9E3A2D">
        <w:rPr>
          <w:rFonts w:ascii="Times New Roman" w:hAnsi="Times New Roman"/>
          <w:color w:val="000000" w:themeColor="text1"/>
          <w:sz w:val="20"/>
          <w:szCs w:val="20"/>
        </w:rPr>
        <w:t>.11.2022 № 10/194-ОМС</w:t>
      </w:r>
    </w:p>
    <w:p w:rsidR="00D93F25" w:rsidRPr="009E3A2D" w:rsidRDefault="00D93F25" w:rsidP="00D93F2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E3A2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93F25" w:rsidRPr="009E3A2D" w:rsidRDefault="00D93F25" w:rsidP="00D93F25">
      <w:pPr>
        <w:pStyle w:val="aa"/>
        <w:tabs>
          <w:tab w:val="left" w:pos="9923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E3A2D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D93F25" w:rsidRPr="009E3A2D" w:rsidRDefault="00D93F25" w:rsidP="00D93F25">
      <w:pPr>
        <w:pStyle w:val="aa"/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E3A2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93F25" w:rsidRPr="009E3A2D" w:rsidRDefault="00D93F25" w:rsidP="00D93F2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color w:val="000000" w:themeColor="text1"/>
          <w:sz w:val="20"/>
        </w:rPr>
        <w:t xml:space="preserve"> от 30.12.2021 № 194-ОМС</w:t>
      </w:r>
    </w:p>
    <w:p w:rsidR="00D93F25" w:rsidRPr="009E3A2D" w:rsidRDefault="00D93F25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</w:p>
    <w:p w:rsidR="00333E46" w:rsidRPr="009E3A2D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 xml:space="preserve"> в сфере обязательного медицинского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от 30.12.2021 № 194-ОМС</w:t>
      </w:r>
    </w:p>
    <w:p w:rsidR="000C0A15" w:rsidRPr="009E3A2D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Pr="009E3A2D" w:rsidRDefault="00873DF8" w:rsidP="000C0A15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E3A2D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9E3A2D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9E3A2D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9E3A2D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5027" w:type="dxa"/>
        <w:tblInd w:w="-318" w:type="dxa"/>
        <w:tblLook w:val="04A0"/>
      </w:tblPr>
      <w:tblGrid>
        <w:gridCol w:w="416"/>
        <w:gridCol w:w="6071"/>
        <w:gridCol w:w="3119"/>
        <w:gridCol w:w="3720"/>
        <w:gridCol w:w="1701"/>
      </w:tblGrid>
      <w:tr w:rsidR="00F07270" w:rsidRPr="009E3A2D" w:rsidTr="007E62CC">
        <w:trPr>
          <w:trHeight w:val="712"/>
          <w:tblHeader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Планируемый результат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F07270" w:rsidRPr="009E3A2D" w:rsidTr="007E62CC">
        <w:trPr>
          <w:trHeight w:val="450"/>
        </w:trPr>
        <w:tc>
          <w:tcPr>
            <w:tcW w:w="13326" w:type="dxa"/>
            <w:gridSpan w:val="4"/>
            <w:vAlign w:val="center"/>
          </w:tcPr>
          <w:p w:rsidR="00F07270" w:rsidRPr="009E3A2D" w:rsidRDefault="00F07270" w:rsidP="007E62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25</w:t>
            </w:r>
          </w:p>
        </w:tc>
      </w:tr>
      <w:tr w:rsidR="00F07270" w:rsidRPr="009E3A2D" w:rsidTr="007E62CC">
        <w:trPr>
          <w:trHeight w:val="465"/>
        </w:trPr>
        <w:tc>
          <w:tcPr>
            <w:tcW w:w="15027" w:type="dxa"/>
            <w:gridSpan w:val="5"/>
            <w:vAlign w:val="center"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F07270" w:rsidRPr="009E3A2D" w:rsidTr="007E62CC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0,5 балла;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7 % -  1 балл</w:t>
            </w:r>
            <w:r w:rsidR="008347B8" w:rsidRPr="009E3A2D">
              <w:rPr>
                <w:color w:val="000000"/>
                <w:sz w:val="20"/>
              </w:rPr>
              <w:t>;</w:t>
            </w:r>
          </w:p>
          <w:p w:rsidR="008347B8" w:rsidRPr="009E3A2D" w:rsidRDefault="008347B8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Значение показателя в текущем периоде выше среднего значения по </w:t>
            </w:r>
            <w:r w:rsidR="00CC2634" w:rsidRPr="009E3A2D">
              <w:rPr>
                <w:rFonts w:eastAsiaTheme="minorHAnsi"/>
                <w:sz w:val="20"/>
                <w:lang w:eastAsia="en-US"/>
              </w:rPr>
              <w:t xml:space="preserve">Челябинской области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в текущем периоде (далее - выше среднего) - 0,5 балла; В текущем периоде достигнуто максимально возможное значение показателя (далее - максимально возможное значение) - </w:t>
            </w:r>
          </w:p>
          <w:p w:rsidR="008347B8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&lt; 5 % -  0 баллов;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5 % -  1 балл;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2 балла</w:t>
            </w:r>
            <w:r w:rsidR="008347B8" w:rsidRPr="009E3A2D">
              <w:rPr>
                <w:color w:val="000000"/>
                <w:sz w:val="20"/>
              </w:rPr>
              <w:t>;</w:t>
            </w:r>
          </w:p>
          <w:p w:rsidR="008347B8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F07270" w:rsidRPr="009E3A2D" w:rsidTr="007E62CC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3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="008347B8" w:rsidRPr="009E3A2D">
              <w:rPr>
                <w:color w:val="000000"/>
                <w:sz w:val="20"/>
              </w:rPr>
              <w:t>;</w:t>
            </w:r>
          </w:p>
          <w:p w:rsidR="008347B8" w:rsidRPr="009E3A2D" w:rsidRDefault="008347B8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8347B8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4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="008347B8" w:rsidRPr="009E3A2D">
              <w:rPr>
                <w:color w:val="000000"/>
                <w:sz w:val="20"/>
              </w:rPr>
              <w:t>;</w:t>
            </w:r>
          </w:p>
          <w:p w:rsidR="008347B8" w:rsidRPr="009E3A2D" w:rsidRDefault="008347B8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8347B8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5</w:t>
            </w:r>
          </w:p>
          <w:p w:rsidR="00F07270" w:rsidRPr="009E3A2D" w:rsidRDefault="00F07270" w:rsidP="007E62CC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8347B8" w:rsidRPr="009E3A2D" w:rsidRDefault="008347B8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="008347B8"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F07270" w:rsidRPr="009E3A2D" w:rsidTr="007E62CC">
        <w:trPr>
          <w:trHeight w:val="375"/>
        </w:trPr>
        <w:tc>
          <w:tcPr>
            <w:tcW w:w="15027" w:type="dxa"/>
            <w:gridSpan w:val="5"/>
            <w:vAlign w:val="center"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1 балл; </w:t>
            </w:r>
          </w:p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7 % -  2 балла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F07270" w:rsidRPr="009E3A2D" w:rsidTr="007E62CC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; Значение показателя в текущем пе</w:t>
            </w:r>
            <w:r w:rsidR="00CC2634" w:rsidRPr="009E3A2D">
              <w:rPr>
                <w:rFonts w:eastAsiaTheme="minorHAnsi"/>
                <w:sz w:val="20"/>
                <w:lang w:eastAsia="en-US"/>
              </w:rPr>
              <w:t xml:space="preserve">риоде ниже среднего значения по Челябинской области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в текущем периоде (далее - ниже среднего) - 0,5 балла; В текущем периоде достигнуто минимально возможное значение показателя (далее - минимально возможное значение) –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9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100% плана или более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100% плана или более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100% плана или более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;</w:t>
            </w:r>
            <w:r w:rsidR="008347B8"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3 % - 0 баллов; Уменьшение ≥ 3 % - 1 балл; Уменьшение  ≥ 7 % - 2 балла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- 1 балл; Минимально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F07270" w:rsidRPr="009E3A2D" w:rsidTr="007E62CC">
        <w:trPr>
          <w:trHeight w:val="1391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14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;</w:t>
            </w:r>
            <w:r w:rsidR="008347B8"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375"/>
        </w:trPr>
        <w:tc>
          <w:tcPr>
            <w:tcW w:w="15027" w:type="dxa"/>
            <w:gridSpan w:val="5"/>
            <w:vAlign w:val="center"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смертности</w:t>
            </w:r>
          </w:p>
        </w:tc>
      </w:tr>
      <w:tr w:rsidR="00F07270" w:rsidRPr="009E3A2D" w:rsidTr="007E62CC">
        <w:trPr>
          <w:trHeight w:val="267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15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1875F9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Увеличение показателя смертности - 0 баллов;  Без динамики или уменьшение &lt; 2% - 0,5 балл</w:t>
            </w:r>
            <w:r w:rsidR="001875F9" w:rsidRPr="009E3A2D">
              <w:rPr>
                <w:color w:val="000000"/>
                <w:sz w:val="20"/>
              </w:rPr>
              <w:t>а</w:t>
            </w:r>
            <w:r w:rsidRPr="009E3A2D">
              <w:rPr>
                <w:color w:val="000000"/>
                <w:sz w:val="20"/>
              </w:rPr>
              <w:t>; Уменьшение  от 2 до 5% - 1 балл; Уменьшение от 5 до 10% - 2 балла; Уменьшение  ≥ 10 % - 3 балла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; Ниже среднего - 0,5 балла; Минимально возможное значение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3</w:t>
            </w:r>
          </w:p>
        </w:tc>
      </w:tr>
      <w:tr w:rsidR="00F07270" w:rsidRPr="009E3A2D" w:rsidTr="007E62CC">
        <w:trPr>
          <w:trHeight w:val="112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16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3 % - 0 баллов; Уменьшение ≥ 3 % - 1,5 балла; Уменьшение  ≥ 7 % - 3 балла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- 1,5 балла; Минимально возможное значение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3</w:t>
            </w:r>
          </w:p>
        </w:tc>
      </w:tr>
      <w:tr w:rsidR="00F07270" w:rsidRPr="009E3A2D" w:rsidTr="007E62CC">
        <w:trPr>
          <w:trHeight w:val="375"/>
        </w:trPr>
        <w:tc>
          <w:tcPr>
            <w:tcW w:w="13326" w:type="dxa"/>
            <w:gridSpan w:val="4"/>
            <w:vAlign w:val="center"/>
          </w:tcPr>
          <w:p w:rsidR="00F07270" w:rsidRPr="009E3A2D" w:rsidRDefault="00F07270" w:rsidP="007E62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10</w:t>
            </w:r>
          </w:p>
        </w:tc>
      </w:tr>
      <w:tr w:rsidR="00F07270" w:rsidRPr="009E3A2D" w:rsidTr="007E62CC">
        <w:trPr>
          <w:trHeight w:val="375"/>
        </w:trPr>
        <w:tc>
          <w:tcPr>
            <w:tcW w:w="15027" w:type="dxa"/>
            <w:gridSpan w:val="5"/>
            <w:vAlign w:val="center"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F07270" w:rsidRPr="009E3A2D" w:rsidTr="007E62CC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8347B8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F07270" w:rsidRPr="009E3A2D" w:rsidRDefault="008347B8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100 % от числа подлежащих диспансерному наблюдению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100 % от числа подлежащих диспансерному наблюдению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100 % от числа подлежащих диспансерному наблюдению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100 % от числа подлежащих диспансерному наблюдению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- 2 балла; 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F07270" w:rsidRPr="009E3A2D" w:rsidTr="007E62CC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22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100 % от числа подлежащих диспансерному наблюдению</w:t>
            </w:r>
            <w:r w:rsidR="008347B8" w:rsidRPr="009E3A2D">
              <w:rPr>
                <w:color w:val="000000"/>
                <w:sz w:val="20"/>
              </w:rPr>
              <w:t xml:space="preserve"> </w:t>
            </w:r>
            <w:r w:rsidR="008347B8"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375"/>
        </w:trPr>
        <w:tc>
          <w:tcPr>
            <w:tcW w:w="15027" w:type="dxa"/>
            <w:gridSpan w:val="5"/>
            <w:vAlign w:val="center"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смертности</w:t>
            </w:r>
          </w:p>
        </w:tc>
      </w:tr>
      <w:tr w:rsidR="00F07270" w:rsidRPr="009E3A2D" w:rsidTr="007E62CC">
        <w:trPr>
          <w:trHeight w:val="3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23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Смертность детей в возрасте 0-17 лет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Увеличение показателя смертности - 0 баллов; Без динамики или уменьшение до 2% - 0,5 балл</w:t>
            </w:r>
            <w:r w:rsidR="001875F9" w:rsidRPr="009E3A2D">
              <w:rPr>
                <w:color w:val="000000"/>
                <w:sz w:val="20"/>
              </w:rPr>
              <w:t>а</w:t>
            </w:r>
            <w:r w:rsidRPr="009E3A2D">
              <w:rPr>
                <w:color w:val="000000"/>
                <w:sz w:val="20"/>
              </w:rPr>
              <w:t>; Уменьшение от 2 до 5% - 1 балл; Уменьшение от 5 до 10% - 2 балла; Уменьшение  ≥ 10 % - 3 балла;</w:t>
            </w:r>
          </w:p>
          <w:p w:rsidR="00A772F6" w:rsidRPr="009E3A2D" w:rsidRDefault="00A772F6" w:rsidP="007E62CC">
            <w:pPr>
              <w:jc w:val="center"/>
              <w:rPr>
                <w:strike/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3</w:t>
            </w:r>
          </w:p>
        </w:tc>
      </w:tr>
      <w:tr w:rsidR="00F07270" w:rsidRPr="009E3A2D" w:rsidTr="007E62CC">
        <w:trPr>
          <w:trHeight w:val="375"/>
        </w:trPr>
        <w:tc>
          <w:tcPr>
            <w:tcW w:w="13326" w:type="dxa"/>
            <w:gridSpan w:val="4"/>
            <w:vAlign w:val="center"/>
          </w:tcPr>
          <w:p w:rsidR="00F07270" w:rsidRPr="009E3A2D" w:rsidRDefault="00F07270" w:rsidP="007E62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F07270" w:rsidRPr="009E3A2D" w:rsidTr="007E62CC">
        <w:trPr>
          <w:trHeight w:val="375"/>
        </w:trPr>
        <w:tc>
          <w:tcPr>
            <w:tcW w:w="15027" w:type="dxa"/>
            <w:gridSpan w:val="5"/>
            <w:vAlign w:val="center"/>
          </w:tcPr>
          <w:p w:rsidR="00F07270" w:rsidRPr="009E3A2D" w:rsidRDefault="00F07270" w:rsidP="007E62CC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lastRenderedPageBreak/>
              <w:t>Оценка эффективности профилактических мероприятий</w:t>
            </w:r>
          </w:p>
        </w:tc>
      </w:tr>
      <w:tr w:rsidR="00F07270" w:rsidRPr="009E3A2D" w:rsidTr="007E62CC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A772F6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="00A772F6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A772F6" w:rsidRPr="009E3A2D" w:rsidRDefault="00A772F6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F07270" w:rsidRPr="009E3A2D" w:rsidRDefault="00A772F6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беременных женщин, вакцинированных против новой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A772F6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100% плана или более</w:t>
            </w:r>
            <w:r w:rsidR="00A772F6" w:rsidRPr="009E3A2D">
              <w:rPr>
                <w:color w:val="000000"/>
                <w:sz w:val="20"/>
              </w:rPr>
              <w:t xml:space="preserve"> </w:t>
            </w:r>
            <w:r w:rsidR="00A772F6"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A772F6" w:rsidRPr="009E3A2D">
              <w:rPr>
                <w:rFonts w:eastAsiaTheme="minorHAnsi"/>
                <w:sz w:val="20"/>
                <w:lang w:eastAsia="en-US"/>
              </w:rPr>
              <w:t xml:space="preserve">1 балл; </w:t>
            </w:r>
          </w:p>
          <w:p w:rsidR="00F07270" w:rsidRPr="009E3A2D" w:rsidRDefault="00A772F6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26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A772F6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="00A772F6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A772F6" w:rsidRPr="009E3A2D" w:rsidRDefault="00A772F6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F07270" w:rsidRPr="009E3A2D" w:rsidRDefault="00A772F6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27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A772F6" w:rsidRPr="009E3A2D" w:rsidRDefault="00F07270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="00A772F6"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9E3A2D" w:rsidRDefault="00A772F6" w:rsidP="007E62CC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F07270" w:rsidRPr="009E3A2D" w:rsidRDefault="00A772F6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F07270" w:rsidRPr="009E3A2D" w:rsidTr="007E62CC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28</w:t>
            </w:r>
          </w:p>
        </w:tc>
        <w:tc>
          <w:tcPr>
            <w:tcW w:w="6071" w:type="dxa"/>
            <w:vAlign w:val="center"/>
            <w:hideMark/>
          </w:tcPr>
          <w:p w:rsidR="00F07270" w:rsidRPr="009E3A2D" w:rsidRDefault="00F07270" w:rsidP="007E62CC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="00A772F6" w:rsidRPr="009E3A2D">
              <w:rPr>
                <w:color w:val="000000"/>
                <w:sz w:val="20"/>
              </w:rPr>
              <w:t xml:space="preserve"> </w:t>
            </w:r>
            <w:r w:rsidR="00A772F6"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F07270" w:rsidRPr="009E3A2D" w:rsidRDefault="00F07270" w:rsidP="007E62CC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</w:tbl>
    <w:p w:rsidR="006B060C" w:rsidRPr="009E3A2D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C25925">
      <w:footerReference w:type="default" r:id="rId7"/>
      <w:pgSz w:w="16838" w:h="11906" w:orient="landscape"/>
      <w:pgMar w:top="1276" w:right="1387" w:bottom="850" w:left="1134" w:header="708" w:footer="708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49" w:rsidRDefault="00313749" w:rsidP="00D05FBB">
      <w:r>
        <w:separator/>
      </w:r>
    </w:p>
  </w:endnote>
  <w:endnote w:type="continuationSeparator" w:id="0">
    <w:p w:rsidR="00313749" w:rsidRDefault="00313749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CD797F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9E3A2D">
          <w:rPr>
            <w:noProof/>
            <w:sz w:val="24"/>
            <w:szCs w:val="24"/>
          </w:rPr>
          <w:t>3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49" w:rsidRDefault="00313749" w:rsidP="00D05FBB">
      <w:r>
        <w:separator/>
      </w:r>
    </w:p>
  </w:footnote>
  <w:footnote w:type="continuationSeparator" w:id="0">
    <w:p w:rsidR="00313749" w:rsidRDefault="00313749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5949"/>
    <w:rsid w:val="0004586B"/>
    <w:rsid w:val="000514E5"/>
    <w:rsid w:val="00052A2C"/>
    <w:rsid w:val="00067673"/>
    <w:rsid w:val="00076C53"/>
    <w:rsid w:val="00084ED0"/>
    <w:rsid w:val="00091200"/>
    <w:rsid w:val="000A314F"/>
    <w:rsid w:val="000A5350"/>
    <w:rsid w:val="000C0A15"/>
    <w:rsid w:val="000D0097"/>
    <w:rsid w:val="000D169A"/>
    <w:rsid w:val="000E1DF8"/>
    <w:rsid w:val="000F6504"/>
    <w:rsid w:val="0010349D"/>
    <w:rsid w:val="00110874"/>
    <w:rsid w:val="001875F9"/>
    <w:rsid w:val="00187E53"/>
    <w:rsid w:val="001A5A9D"/>
    <w:rsid w:val="001E385C"/>
    <w:rsid w:val="001F1B36"/>
    <w:rsid w:val="001F589D"/>
    <w:rsid w:val="00210669"/>
    <w:rsid w:val="002207C9"/>
    <w:rsid w:val="00220D3A"/>
    <w:rsid w:val="00285A7C"/>
    <w:rsid w:val="00290361"/>
    <w:rsid w:val="0029697F"/>
    <w:rsid w:val="002A4D7C"/>
    <w:rsid w:val="002A7E2B"/>
    <w:rsid w:val="002C09A2"/>
    <w:rsid w:val="002C1BC2"/>
    <w:rsid w:val="002C5996"/>
    <w:rsid w:val="002D0A88"/>
    <w:rsid w:val="002D4DE1"/>
    <w:rsid w:val="002E2444"/>
    <w:rsid w:val="003072AD"/>
    <w:rsid w:val="00313749"/>
    <w:rsid w:val="00313BEC"/>
    <w:rsid w:val="003332EA"/>
    <w:rsid w:val="00333E46"/>
    <w:rsid w:val="00337A96"/>
    <w:rsid w:val="0034110F"/>
    <w:rsid w:val="0036742F"/>
    <w:rsid w:val="00377524"/>
    <w:rsid w:val="00381FE0"/>
    <w:rsid w:val="00387A02"/>
    <w:rsid w:val="00390CA2"/>
    <w:rsid w:val="003B4FDD"/>
    <w:rsid w:val="003D3E49"/>
    <w:rsid w:val="003E4399"/>
    <w:rsid w:val="003E7A23"/>
    <w:rsid w:val="003E7EEC"/>
    <w:rsid w:val="0040659E"/>
    <w:rsid w:val="00420CE7"/>
    <w:rsid w:val="004233AD"/>
    <w:rsid w:val="00434072"/>
    <w:rsid w:val="004561D1"/>
    <w:rsid w:val="004617D3"/>
    <w:rsid w:val="0048752A"/>
    <w:rsid w:val="00490A04"/>
    <w:rsid w:val="0049624E"/>
    <w:rsid w:val="004B451D"/>
    <w:rsid w:val="004E0536"/>
    <w:rsid w:val="004E3590"/>
    <w:rsid w:val="00501195"/>
    <w:rsid w:val="00525D39"/>
    <w:rsid w:val="0053327B"/>
    <w:rsid w:val="00555D19"/>
    <w:rsid w:val="0056017C"/>
    <w:rsid w:val="00582DB1"/>
    <w:rsid w:val="00582DB6"/>
    <w:rsid w:val="005C63F4"/>
    <w:rsid w:val="005F117C"/>
    <w:rsid w:val="005F150B"/>
    <w:rsid w:val="0062276E"/>
    <w:rsid w:val="006334B5"/>
    <w:rsid w:val="006440E6"/>
    <w:rsid w:val="00646876"/>
    <w:rsid w:val="00672E6A"/>
    <w:rsid w:val="0069263F"/>
    <w:rsid w:val="00692BE4"/>
    <w:rsid w:val="006A0FD6"/>
    <w:rsid w:val="006A1222"/>
    <w:rsid w:val="006A70D4"/>
    <w:rsid w:val="006B060C"/>
    <w:rsid w:val="006B7B5F"/>
    <w:rsid w:val="006D4A12"/>
    <w:rsid w:val="006D7444"/>
    <w:rsid w:val="006F001A"/>
    <w:rsid w:val="006F78EA"/>
    <w:rsid w:val="00711111"/>
    <w:rsid w:val="007334EF"/>
    <w:rsid w:val="00743171"/>
    <w:rsid w:val="0075257C"/>
    <w:rsid w:val="00762E09"/>
    <w:rsid w:val="00770A26"/>
    <w:rsid w:val="00796639"/>
    <w:rsid w:val="007B5E76"/>
    <w:rsid w:val="007C708E"/>
    <w:rsid w:val="007D2513"/>
    <w:rsid w:val="007D2701"/>
    <w:rsid w:val="007D5169"/>
    <w:rsid w:val="007E301B"/>
    <w:rsid w:val="007E4AB0"/>
    <w:rsid w:val="007E6865"/>
    <w:rsid w:val="008173DF"/>
    <w:rsid w:val="00822B6C"/>
    <w:rsid w:val="00823D36"/>
    <w:rsid w:val="00832E33"/>
    <w:rsid w:val="008347B8"/>
    <w:rsid w:val="00842754"/>
    <w:rsid w:val="00842C8D"/>
    <w:rsid w:val="00854379"/>
    <w:rsid w:val="00857591"/>
    <w:rsid w:val="00861E81"/>
    <w:rsid w:val="00862D61"/>
    <w:rsid w:val="00866500"/>
    <w:rsid w:val="00873DF8"/>
    <w:rsid w:val="00874AB7"/>
    <w:rsid w:val="00884D05"/>
    <w:rsid w:val="00885F81"/>
    <w:rsid w:val="008A48EB"/>
    <w:rsid w:val="008A50B1"/>
    <w:rsid w:val="008C403D"/>
    <w:rsid w:val="008C5703"/>
    <w:rsid w:val="008D3B46"/>
    <w:rsid w:val="008F09F4"/>
    <w:rsid w:val="0091655C"/>
    <w:rsid w:val="0096082F"/>
    <w:rsid w:val="0096506C"/>
    <w:rsid w:val="0096719F"/>
    <w:rsid w:val="00995BD5"/>
    <w:rsid w:val="009B4A2C"/>
    <w:rsid w:val="009C679E"/>
    <w:rsid w:val="009D1527"/>
    <w:rsid w:val="009D1F76"/>
    <w:rsid w:val="009E3A2D"/>
    <w:rsid w:val="009E511D"/>
    <w:rsid w:val="00A078B5"/>
    <w:rsid w:val="00A13D50"/>
    <w:rsid w:val="00A17F84"/>
    <w:rsid w:val="00A33B81"/>
    <w:rsid w:val="00A35047"/>
    <w:rsid w:val="00A40132"/>
    <w:rsid w:val="00A42BED"/>
    <w:rsid w:val="00A50AE8"/>
    <w:rsid w:val="00A75B4B"/>
    <w:rsid w:val="00A772F6"/>
    <w:rsid w:val="00A87958"/>
    <w:rsid w:val="00A96D82"/>
    <w:rsid w:val="00AA15DF"/>
    <w:rsid w:val="00AA7520"/>
    <w:rsid w:val="00AC0C20"/>
    <w:rsid w:val="00AC0F80"/>
    <w:rsid w:val="00AE0F4E"/>
    <w:rsid w:val="00AE65E9"/>
    <w:rsid w:val="00AF5FD2"/>
    <w:rsid w:val="00B00B34"/>
    <w:rsid w:val="00B01E98"/>
    <w:rsid w:val="00B5638F"/>
    <w:rsid w:val="00B613CB"/>
    <w:rsid w:val="00B734E5"/>
    <w:rsid w:val="00B74816"/>
    <w:rsid w:val="00B74EA2"/>
    <w:rsid w:val="00BA55D6"/>
    <w:rsid w:val="00BA78B5"/>
    <w:rsid w:val="00BD0DE5"/>
    <w:rsid w:val="00BD6BEB"/>
    <w:rsid w:val="00BE29D4"/>
    <w:rsid w:val="00BF7273"/>
    <w:rsid w:val="00C00708"/>
    <w:rsid w:val="00C05CE6"/>
    <w:rsid w:val="00C05FF5"/>
    <w:rsid w:val="00C25925"/>
    <w:rsid w:val="00C441AB"/>
    <w:rsid w:val="00C4528B"/>
    <w:rsid w:val="00C558FD"/>
    <w:rsid w:val="00C70BE2"/>
    <w:rsid w:val="00C76220"/>
    <w:rsid w:val="00C963CC"/>
    <w:rsid w:val="00CB02BC"/>
    <w:rsid w:val="00CC2634"/>
    <w:rsid w:val="00CC2AF6"/>
    <w:rsid w:val="00CD797F"/>
    <w:rsid w:val="00CF0514"/>
    <w:rsid w:val="00D05FBB"/>
    <w:rsid w:val="00D1377A"/>
    <w:rsid w:val="00D3062C"/>
    <w:rsid w:val="00D43112"/>
    <w:rsid w:val="00D457FC"/>
    <w:rsid w:val="00D638D8"/>
    <w:rsid w:val="00D73D8E"/>
    <w:rsid w:val="00D8163D"/>
    <w:rsid w:val="00D93F25"/>
    <w:rsid w:val="00DB2B1F"/>
    <w:rsid w:val="00DE48EF"/>
    <w:rsid w:val="00DF62BF"/>
    <w:rsid w:val="00E12725"/>
    <w:rsid w:val="00E13285"/>
    <w:rsid w:val="00E24C0F"/>
    <w:rsid w:val="00E30B97"/>
    <w:rsid w:val="00E37371"/>
    <w:rsid w:val="00E75066"/>
    <w:rsid w:val="00E776AC"/>
    <w:rsid w:val="00EA3753"/>
    <w:rsid w:val="00EC369F"/>
    <w:rsid w:val="00EE1A85"/>
    <w:rsid w:val="00EE43CD"/>
    <w:rsid w:val="00EF6B31"/>
    <w:rsid w:val="00F04410"/>
    <w:rsid w:val="00F07270"/>
    <w:rsid w:val="00F22595"/>
    <w:rsid w:val="00F232F5"/>
    <w:rsid w:val="00F31B59"/>
    <w:rsid w:val="00F40A39"/>
    <w:rsid w:val="00F660EE"/>
    <w:rsid w:val="00F72494"/>
    <w:rsid w:val="00F84AD4"/>
    <w:rsid w:val="00F87F0B"/>
    <w:rsid w:val="00FC1663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E9255-73A0-497D-BD9A-F9A612D4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avzavyalova</cp:lastModifiedBy>
  <cp:revision>8</cp:revision>
  <dcterms:created xsi:type="dcterms:W3CDTF">2022-11-14T11:58:00Z</dcterms:created>
  <dcterms:modified xsi:type="dcterms:W3CDTF">2022-12-01T05:18:00Z</dcterms:modified>
</cp:coreProperties>
</file>